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18" w:rsidRPr="00533B18" w:rsidRDefault="00533B18" w:rsidP="00533B18">
      <w:pPr>
        <w:spacing w:after="160"/>
        <w:jc w:val="center"/>
        <w:rPr>
          <w:rFonts w:ascii="Roboto" w:hAnsi="Roboto" w:cs="Arial"/>
          <w:b/>
          <w:color w:val="5BB030"/>
          <w:szCs w:val="22"/>
        </w:rPr>
      </w:pPr>
      <w:r w:rsidRPr="00533B18">
        <w:rPr>
          <w:rFonts w:ascii="Roboto" w:hAnsi="Roboto" w:cs="Arial"/>
          <w:b/>
          <w:color w:val="5BB030"/>
          <w:szCs w:val="22"/>
        </w:rPr>
        <w:t>Some practical pointers for success</w:t>
      </w: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 xml:space="preserve">This document has been out together in order to give you some information that might be helpful to consider before undertaking a Pro Bono OR project. </w:t>
      </w: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 xml:space="preserve">The Third Sector - including charities, social enterprises, mutual and indeed any organisations that are not part of the private or state sectors - is different. </w:t>
      </w:r>
      <w:proofErr w:type="gramStart"/>
      <w:r w:rsidRPr="00533B18">
        <w:rPr>
          <w:rFonts w:ascii="Roboto" w:hAnsi="Roboto"/>
          <w:sz w:val="20"/>
          <w:szCs w:val="22"/>
        </w:rPr>
        <w:t>And</w:t>
      </w:r>
      <w:proofErr w:type="gramEnd"/>
      <w:r w:rsidRPr="00533B18">
        <w:rPr>
          <w:rFonts w:ascii="Roboto" w:hAnsi="Roboto"/>
          <w:sz w:val="20"/>
          <w:szCs w:val="22"/>
        </w:rPr>
        <w:t xml:space="preserve"> doing OR as a volunteer rather than as a paid person or student is also different. </w:t>
      </w:r>
      <w:proofErr w:type="gramStart"/>
      <w:r w:rsidRPr="00533B18">
        <w:rPr>
          <w:rFonts w:ascii="Roboto" w:hAnsi="Roboto"/>
          <w:sz w:val="20"/>
          <w:szCs w:val="22"/>
        </w:rPr>
        <w:t>But</w:t>
      </w:r>
      <w:proofErr w:type="gramEnd"/>
      <w:r w:rsidRPr="00533B18">
        <w:rPr>
          <w:rFonts w:ascii="Roboto" w:hAnsi="Roboto"/>
          <w:sz w:val="20"/>
          <w:szCs w:val="22"/>
        </w:rPr>
        <w:t xml:space="preserve"> does that mean that you need to approach the project differently?  </w:t>
      </w: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 xml:space="preserve">Table 1 below outlines success factors that you need to get right in order for a project to be successful </w:t>
      </w:r>
      <w:proofErr w:type="gramStart"/>
      <w:r w:rsidRPr="00533B18">
        <w:rPr>
          <w:rFonts w:ascii="Roboto" w:hAnsi="Roboto"/>
          <w:sz w:val="20"/>
          <w:szCs w:val="22"/>
        </w:rPr>
        <w:t>and also</w:t>
      </w:r>
      <w:proofErr w:type="gramEnd"/>
      <w:r w:rsidRPr="00533B18">
        <w:rPr>
          <w:rFonts w:ascii="Roboto" w:hAnsi="Roboto"/>
          <w:sz w:val="20"/>
          <w:szCs w:val="22"/>
        </w:rPr>
        <w:t xml:space="preserve"> key issues for Pro Bono volunteers related to those factors.</w:t>
      </w: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Other issues to consider: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The project almost always takes longer than you would expect: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Clients’ time is hard to get:  Board level people are generally part-time volunteers committed to only a few hours a month, and people in operational roles (including CEO) are generally overworked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Overrun is frequently a cost-free risk to the client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The ‘and another thing’ syndrome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Clients can be relatively naïve, especially ‘SME’-equivalent clients, because OR is so unusual in the sector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There is usually something else underlying the presented problem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</w:pPr>
      <w:r w:rsidRPr="00533B18">
        <w:rPr>
          <w:rFonts w:ascii="Roboto" w:hAnsi="Roboto"/>
          <w:sz w:val="20"/>
          <w:szCs w:val="22"/>
        </w:rPr>
        <w:t>The stakeholder landscape is generally complex</w:t>
      </w:r>
    </w:p>
    <w:p w:rsidR="00533B18" w:rsidRPr="00533B18" w:rsidRDefault="00533B18" w:rsidP="00533B18">
      <w:pPr>
        <w:pStyle w:val="ListParagraph"/>
        <w:numPr>
          <w:ilvl w:val="0"/>
          <w:numId w:val="1"/>
        </w:numPr>
        <w:ind w:left="720"/>
        <w:rPr>
          <w:rFonts w:ascii="Roboto" w:hAnsi="Roboto"/>
          <w:sz w:val="20"/>
          <w:szCs w:val="22"/>
        </w:rPr>
        <w:sectPr w:rsidR="00533B18" w:rsidRPr="00533B18" w:rsidSect="00533B18">
          <w:headerReference w:type="default" r:id="rId7"/>
          <w:footerReference w:type="default" r:id="rId8"/>
          <w:pgSz w:w="11907" w:h="16840" w:code="9"/>
          <w:pgMar w:top="1440" w:right="1361" w:bottom="964" w:left="1361" w:header="680" w:footer="0" w:gutter="0"/>
          <w:cols w:space="720"/>
          <w:docGrid w:linePitch="326"/>
        </w:sectPr>
      </w:pPr>
      <w:r w:rsidRPr="00533B18">
        <w:rPr>
          <w:rFonts w:ascii="Roboto" w:hAnsi="Roboto"/>
          <w:sz w:val="20"/>
          <w:szCs w:val="22"/>
        </w:rPr>
        <w:t>Small charities are almost always very vulnerable to adverse environmental change, and the consultant needs to be sensitive to this</w:t>
      </w:r>
    </w:p>
    <w:p w:rsidR="00533B18" w:rsidRPr="00533B18" w:rsidRDefault="00533B18" w:rsidP="00533B18">
      <w:pPr>
        <w:spacing w:after="160"/>
        <w:rPr>
          <w:rFonts w:ascii="Roboto" w:hAnsi="Roboto"/>
          <w:sz w:val="20"/>
          <w:szCs w:val="22"/>
        </w:rPr>
        <w:sectPr w:rsidR="00533B18" w:rsidRPr="00533B18" w:rsidSect="00665470">
          <w:type w:val="continuous"/>
          <w:pgSz w:w="11907" w:h="16840" w:code="9"/>
          <w:pgMar w:top="1440" w:right="1440" w:bottom="1440" w:left="1418" w:header="680" w:footer="737" w:gutter="0"/>
          <w:cols w:num="2" w:space="720"/>
          <w:docGrid w:linePitch="326"/>
        </w:sect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0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color w:val="5BB030"/>
          <w:sz w:val="22"/>
          <w:szCs w:val="22"/>
        </w:rPr>
      </w:pPr>
    </w:p>
    <w:p w:rsidR="00533B18" w:rsidRPr="00533B18" w:rsidRDefault="00533B18" w:rsidP="00533B18">
      <w:pPr>
        <w:rPr>
          <w:rFonts w:ascii="Roboto" w:hAnsi="Roboto"/>
          <w:color w:val="5BB030"/>
          <w:sz w:val="22"/>
          <w:szCs w:val="22"/>
        </w:rPr>
      </w:pPr>
      <w:r w:rsidRPr="00533B18">
        <w:rPr>
          <w:rFonts w:ascii="Roboto" w:hAnsi="Roboto"/>
          <w:i/>
          <w:sz w:val="22"/>
          <w:szCs w:val="22"/>
        </w:rPr>
        <w:lastRenderedPageBreak/>
        <w:t>Table 1: Success factors and pro bono issues (Ruth Kaufman Sept 2014)</w:t>
      </w:r>
    </w:p>
    <w:p w:rsidR="00533B18" w:rsidRPr="00533B18" w:rsidRDefault="00533B18" w:rsidP="00533B18">
      <w:pPr>
        <w:rPr>
          <w:rFonts w:ascii="Roboto" w:hAnsi="Roboto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753"/>
      </w:tblGrid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b/>
                <w:sz w:val="20"/>
              </w:rPr>
            </w:pPr>
            <w:r w:rsidRPr="00533B18">
              <w:rPr>
                <w:rFonts w:ascii="Roboto" w:hAnsi="Roboto"/>
                <w:b/>
                <w:sz w:val="20"/>
              </w:rPr>
              <w:t xml:space="preserve">Success factors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b/>
                <w:sz w:val="20"/>
              </w:rPr>
            </w:pPr>
            <w:r w:rsidRPr="00533B18">
              <w:rPr>
                <w:rFonts w:ascii="Roboto" w:hAnsi="Roboto"/>
                <w:b/>
                <w:sz w:val="20"/>
              </w:rPr>
              <w:t>Issues for pro bono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Appearing to be professional and confident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Good listening to client (including probing for underlying issues)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 xml:space="preserve">Consultant has done their prior research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This should include sector understanding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 xml:space="preserve">Client engagement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 xml:space="preserve">Good communication and trust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Need to use appropriate language (see ‘prior research’)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 xml:space="preserve">Clients (and the right people at the client) have time to give information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Understand clients’ time constraints (especially an issue for trustees, or for small delivery-focused charities)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At some point before it is too late, there is an agreed product/</w:t>
            </w:r>
            <w:proofErr w:type="spellStart"/>
            <w:r w:rsidRPr="00533B18">
              <w:rPr>
                <w:rFonts w:ascii="Roboto" w:hAnsi="Roboto"/>
                <w:sz w:val="20"/>
              </w:rPr>
              <w:t>ToR</w:t>
            </w:r>
            <w:proofErr w:type="spellEnd"/>
            <w:r w:rsidRPr="00533B18">
              <w:rPr>
                <w:rFonts w:ascii="Roboto" w:hAnsi="Roboto"/>
                <w:sz w:val="20"/>
              </w:rPr>
              <w:t xml:space="preserve">/timing/scope/report/plan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a) Greater flexibility may be necessary because of clients’ relative inexperience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b) Danger of project drift as a result of client inexperience and consultant emotional involvement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c) Commitment to timings should be as rigorous as paid external consultant; don’t think, or allow client to think, that because it is unpaid, standards can be lowered mid-project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Having empathy (</w:t>
            </w:r>
            <w:proofErr w:type="spellStart"/>
            <w:r w:rsidRPr="00533B18">
              <w:rPr>
                <w:rFonts w:ascii="Roboto" w:hAnsi="Roboto"/>
                <w:sz w:val="20"/>
              </w:rPr>
              <w:t>i</w:t>
            </w:r>
            <w:proofErr w:type="spellEnd"/>
            <w:r w:rsidRPr="00533B18">
              <w:rPr>
                <w:rFonts w:ascii="Roboto" w:hAnsi="Roboto"/>
                <w:sz w:val="20"/>
              </w:rPr>
              <w:t xml:space="preserve">) with organisations objectives, (ii) with organisation’s way of working 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a) Need client to believe in your empathy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b) but mustn’t allow it to override your professional judgement and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c) must be willing to challenge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Technically competent consultant (includes ability to put self in client’s shoes)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 xml:space="preserve">a) Emotional or social drive to do something for the charity may override professional judgement on own competence; 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b) Need to be willing to pull out if necessary, but also need to consider what would be most helpful for the charity, and adapt practice to meet their needs;</w:t>
            </w:r>
          </w:p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c) Need to be willing to agree different product if necessary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Understanding and clarifying risks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Identifying key stakeholders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Bear in mind particular structure of sector, including respective roles of volunteers, trustees and paid staff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Suitable client expectations, well-managed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Bear in mind possible relative inexperience</w:t>
            </w: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Being able to think on your feet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</w:p>
        </w:tc>
      </w:tr>
      <w:tr w:rsidR="00533B18" w:rsidRPr="00533B18" w:rsidTr="008E66B7">
        <w:tc>
          <w:tcPr>
            <w:tcW w:w="4887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Not scaring client off</w:t>
            </w:r>
          </w:p>
        </w:tc>
        <w:tc>
          <w:tcPr>
            <w:tcW w:w="4753" w:type="dxa"/>
            <w:shd w:val="clear" w:color="auto" w:fill="auto"/>
          </w:tcPr>
          <w:p w:rsidR="00533B18" w:rsidRPr="00533B18" w:rsidRDefault="00533B18" w:rsidP="008E66B7">
            <w:pPr>
              <w:rPr>
                <w:rFonts w:ascii="Roboto" w:hAnsi="Roboto"/>
                <w:sz w:val="20"/>
              </w:rPr>
            </w:pPr>
            <w:r w:rsidRPr="00533B18">
              <w:rPr>
                <w:rFonts w:ascii="Roboto" w:hAnsi="Roboto"/>
                <w:sz w:val="20"/>
              </w:rPr>
              <w:t>Bear in mind possible relative inexperience</w:t>
            </w:r>
          </w:p>
        </w:tc>
      </w:tr>
    </w:tbl>
    <w:p w:rsidR="000331F5" w:rsidRPr="00533B18" w:rsidRDefault="000331F5">
      <w:pPr>
        <w:rPr>
          <w:rFonts w:ascii="Roboto" w:hAnsi="Roboto"/>
        </w:rPr>
      </w:pPr>
      <w:bookmarkStart w:id="0" w:name="_GoBack"/>
      <w:bookmarkEnd w:id="0"/>
    </w:p>
    <w:sectPr w:rsidR="000331F5" w:rsidRPr="00533B18" w:rsidSect="00AC4FD0">
      <w:headerReference w:type="default" r:id="rId9"/>
      <w:footerReference w:type="default" r:id="rId10"/>
      <w:type w:val="continuous"/>
      <w:pgSz w:w="11907" w:h="16840" w:code="9"/>
      <w:pgMar w:top="1440" w:right="1440" w:bottom="1440" w:left="1418" w:header="68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18" w:rsidRDefault="00533B18" w:rsidP="00533B18">
      <w:r>
        <w:separator/>
      </w:r>
    </w:p>
  </w:endnote>
  <w:endnote w:type="continuationSeparator" w:id="0">
    <w:p w:rsidR="00533B18" w:rsidRDefault="00533B18" w:rsidP="0053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7 C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16" w:rsidRPr="003B34DB" w:rsidRDefault="00533B18" w:rsidP="00FC640B">
    <w:pPr>
      <w:shd w:val="clear" w:color="auto" w:fill="FFFFFF"/>
      <w:spacing w:before="30" w:line="255" w:lineRule="atLeast"/>
      <w:jc w:val="center"/>
      <w:rPr>
        <w:rFonts w:asciiTheme="minorHAnsi" w:hAnsiTheme="minorHAnsi" w:cs="Arial"/>
        <w:sz w:val="22"/>
        <w:szCs w:val="22"/>
        <w:lang w:eastAsia="en-GB"/>
      </w:rPr>
    </w:pPr>
    <w:r w:rsidRPr="003B34DB">
      <w:rPr>
        <w:rFonts w:asciiTheme="minorHAnsi" w:hAnsiTheme="minorHAnsi" w:cs="Arial"/>
        <w:sz w:val="22"/>
        <w:szCs w:val="22"/>
        <w:lang w:eastAsia="en-GB"/>
      </w:rPr>
      <w:t xml:space="preserve">Email: </w:t>
    </w:r>
    <w:hyperlink r:id="rId1" w:history="1">
      <w:r w:rsidRPr="00183DBF">
        <w:rPr>
          <w:rStyle w:val="Hyperlink"/>
          <w:rFonts w:asciiTheme="minorHAnsi" w:hAnsiTheme="minorHAnsi"/>
          <w:sz w:val="22"/>
          <w:szCs w:val="22"/>
          <w:lang w:eastAsia="en-GB"/>
        </w:rPr>
        <w:t>ProBonoOR@theorsociety.com</w:t>
      </w:r>
    </w:hyperlink>
  </w:p>
  <w:p w:rsidR="00AA2E16" w:rsidRPr="005D2AE4" w:rsidRDefault="00533B18" w:rsidP="005D2AE4">
    <w:pPr>
      <w:pStyle w:val="Footer"/>
      <w:jc w:val="center"/>
      <w:rPr>
        <w:rFonts w:asciiTheme="minorHAnsi" w:hAnsiTheme="minorHAnsi"/>
        <w:color w:val="0000FF"/>
        <w:u w:val="single"/>
        <w:lang w:eastAsia="en-GB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78017CFF" wp14:editId="6C25409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89520" cy="8293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 Bono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4DB">
      <w:rPr>
        <w:rFonts w:asciiTheme="minorHAnsi" w:hAnsiTheme="minorHAnsi" w:cs="Arial"/>
        <w:sz w:val="22"/>
        <w:szCs w:val="22"/>
        <w:lang w:eastAsia="en-GB"/>
      </w:rPr>
      <w:t xml:space="preserve">Webpage: </w:t>
    </w:r>
    <w:hyperlink w:history="1">
      <w:r w:rsidRPr="003B34DB">
        <w:rPr>
          <w:rStyle w:val="Hyperlink"/>
          <w:rFonts w:asciiTheme="minorHAnsi" w:hAnsiTheme="minorHAnsi"/>
          <w:sz w:val="22"/>
          <w:szCs w:val="22"/>
          <w:lang w:eastAsia="en-GB"/>
        </w:rPr>
        <w:t>http://www.theorsociety.com /</w:t>
      </w:r>
      <w:proofErr w:type="spellStart"/>
      <w:r w:rsidRPr="003B34DB">
        <w:rPr>
          <w:rStyle w:val="Hyperlink"/>
          <w:rFonts w:asciiTheme="minorHAnsi" w:hAnsiTheme="minorHAnsi"/>
          <w:sz w:val="22"/>
          <w:szCs w:val="22"/>
          <w:lang w:eastAsia="en-GB"/>
        </w:rPr>
        <w:t>Probono</w:t>
      </w:r>
      <w:proofErr w:type="spellEnd"/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0B" w:rsidRPr="003B34DB" w:rsidRDefault="00533B18" w:rsidP="00533B18">
    <w:pPr>
      <w:shd w:val="clear" w:color="auto" w:fill="FFFFFF"/>
      <w:spacing w:before="30" w:line="255" w:lineRule="atLeast"/>
      <w:ind w:left="2160" w:firstLine="720"/>
      <w:rPr>
        <w:rFonts w:asciiTheme="minorHAnsi" w:hAnsiTheme="minorHAnsi" w:cs="Arial"/>
        <w:sz w:val="22"/>
        <w:szCs w:val="22"/>
        <w:lang w:eastAsia="en-GB"/>
      </w:rPr>
    </w:pPr>
    <w:r w:rsidRPr="003B34DB">
      <w:rPr>
        <w:rFonts w:asciiTheme="minorHAnsi" w:hAnsiTheme="minorHAnsi" w:cs="Arial"/>
        <w:sz w:val="22"/>
        <w:szCs w:val="22"/>
        <w:lang w:eastAsia="en-GB"/>
      </w:rPr>
      <w:t xml:space="preserve">Email: </w:t>
    </w:r>
    <w:hyperlink r:id="rId1" w:history="1">
      <w:r>
        <w:rPr>
          <w:rStyle w:val="Hyperlink"/>
          <w:rFonts w:asciiTheme="minorHAnsi" w:hAnsiTheme="minorHAnsi"/>
          <w:sz w:val="22"/>
          <w:szCs w:val="22"/>
          <w:lang w:eastAsia="en-GB"/>
        </w:rPr>
        <w:t>ProBonoOR</w:t>
      </w:r>
      <w:r w:rsidRPr="003B34DB">
        <w:rPr>
          <w:rStyle w:val="Hyperlink"/>
          <w:rFonts w:asciiTheme="minorHAnsi" w:hAnsiTheme="minorHAnsi"/>
          <w:sz w:val="22"/>
          <w:szCs w:val="22"/>
          <w:lang w:eastAsia="en-GB"/>
        </w:rPr>
        <w:t>@theorsociety.com</w:t>
      </w:r>
    </w:hyperlink>
  </w:p>
  <w:p w:rsidR="003B34DB" w:rsidRDefault="00533B18" w:rsidP="003B34DB">
    <w:pPr>
      <w:pStyle w:val="Footer"/>
      <w:jc w:val="center"/>
      <w:rPr>
        <w:rStyle w:val="Hyperlink"/>
        <w:rFonts w:asciiTheme="minorHAnsi" w:hAnsiTheme="minorHAnsi"/>
        <w:lang w:eastAsia="en-GB"/>
      </w:rPr>
    </w:pPr>
    <w:r w:rsidRPr="003B34DB">
      <w:rPr>
        <w:rFonts w:asciiTheme="minorHAnsi" w:hAnsiTheme="minorHAnsi" w:cs="Arial"/>
        <w:sz w:val="22"/>
        <w:szCs w:val="22"/>
        <w:lang w:eastAsia="en-GB"/>
      </w:rPr>
      <w:t xml:space="preserve">Webpage: </w:t>
    </w:r>
    <w:hyperlink w:history="1">
      <w:r w:rsidRPr="003B34DB">
        <w:rPr>
          <w:rStyle w:val="Hyperlink"/>
          <w:rFonts w:asciiTheme="minorHAnsi" w:hAnsiTheme="minorHAnsi"/>
          <w:sz w:val="22"/>
          <w:szCs w:val="22"/>
          <w:lang w:eastAsia="en-GB"/>
        </w:rPr>
        <w:t>http://www.theorsociety.com /</w:t>
      </w:r>
      <w:proofErr w:type="spellStart"/>
      <w:r w:rsidRPr="003B34DB">
        <w:rPr>
          <w:rStyle w:val="Hyperlink"/>
          <w:rFonts w:asciiTheme="minorHAnsi" w:hAnsiTheme="minorHAnsi"/>
          <w:sz w:val="22"/>
          <w:szCs w:val="22"/>
          <w:lang w:eastAsia="en-GB"/>
        </w:rPr>
        <w:t>Probono</w:t>
      </w:r>
      <w:proofErr w:type="spellEnd"/>
    </w:hyperlink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60288" behindDoc="0" locked="0" layoutInCell="1" allowOverlap="1" wp14:anchorId="2975430F" wp14:editId="129A6C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8085" cy="829310"/>
          <wp:effectExtent l="0" t="0" r="571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 Bono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4DB" w:rsidRDefault="00533B18" w:rsidP="00C16DC6">
    <w:pPr>
      <w:pStyle w:val="Footer"/>
      <w:rPr>
        <w:rStyle w:val="Hyperlink"/>
        <w:rFonts w:asciiTheme="minorHAnsi" w:hAnsiTheme="minorHAnsi"/>
        <w:lang w:eastAsia="en-GB"/>
      </w:rPr>
    </w:pPr>
  </w:p>
  <w:p w:rsidR="003B34DB" w:rsidRDefault="00533B18" w:rsidP="00FC640B">
    <w:pPr>
      <w:pStyle w:val="Footer"/>
      <w:jc w:val="center"/>
      <w:rPr>
        <w:rStyle w:val="Hyperlink"/>
        <w:rFonts w:asciiTheme="minorHAnsi" w:hAnsiTheme="minorHAnsi"/>
        <w:lang w:eastAsia="en-GB"/>
      </w:rPr>
    </w:pPr>
  </w:p>
  <w:p w:rsidR="003B34DB" w:rsidRPr="00BA543F" w:rsidRDefault="00533B18" w:rsidP="00FC640B">
    <w:pPr>
      <w:pStyle w:val="Footer"/>
      <w:jc w:val="center"/>
      <w:rPr>
        <w:rFonts w:asciiTheme="minorHAnsi" w:hAnsiTheme="minorHAnsi"/>
      </w:rPr>
    </w:pPr>
  </w:p>
  <w:p w:rsidR="00483175" w:rsidRDefault="00533B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18" w:rsidRDefault="00533B18" w:rsidP="00533B18">
      <w:r>
        <w:separator/>
      </w:r>
    </w:p>
  </w:footnote>
  <w:footnote w:type="continuationSeparator" w:id="0">
    <w:p w:rsidR="00533B18" w:rsidRDefault="00533B18" w:rsidP="0053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16" w:rsidRPr="00BA543F" w:rsidRDefault="00533B18" w:rsidP="00AA2E16">
    <w:pPr>
      <w:kinsoku w:val="0"/>
      <w:overflowPunct w:val="0"/>
      <w:autoSpaceDE w:val="0"/>
      <w:autoSpaceDN w:val="0"/>
      <w:adjustRightInd w:val="0"/>
      <w:jc w:val="right"/>
      <w:rPr>
        <w:rFonts w:asciiTheme="minorHAnsi" w:hAnsiTheme="minorHAnsi" w:cs="Frutiger LT 57 Cn"/>
        <w:color w:val="70AD47" w:themeColor="accent6"/>
        <w:sz w:val="64"/>
        <w:szCs w:val="64"/>
      </w:rPr>
    </w:pPr>
    <w:r w:rsidRPr="00533B18">
      <w:rPr>
        <w:rFonts w:asciiTheme="minorHAnsi" w:hAnsiTheme="minorHAnsi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C661308" wp14:editId="32F4E4FD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2393315" cy="12636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B18">
      <w:rPr>
        <w:rFonts w:asciiTheme="minorHAnsi" w:hAnsiTheme="minorHAnsi" w:cs="Frutiger LT 57 Cn"/>
        <w:b/>
        <w:bCs/>
        <w:color w:val="000000" w:themeColor="text1"/>
        <w:spacing w:val="14"/>
        <w:sz w:val="64"/>
        <w:szCs w:val="64"/>
      </w:rPr>
      <w:t>Pro Bono OR</w:t>
    </w:r>
  </w:p>
  <w:p w:rsidR="00AA2E16" w:rsidRPr="00BA543F" w:rsidRDefault="00533B18" w:rsidP="00AA2E16">
    <w:pPr>
      <w:kinsoku w:val="0"/>
      <w:overflowPunct w:val="0"/>
      <w:autoSpaceDE w:val="0"/>
      <w:autoSpaceDN w:val="0"/>
      <w:adjustRightInd w:val="0"/>
      <w:ind w:firstLine="720"/>
      <w:jc w:val="right"/>
      <w:rPr>
        <w:rFonts w:asciiTheme="minorHAnsi" w:hAnsiTheme="minorHAnsi" w:cs="Frutiger LT 57 Cn"/>
        <w:color w:val="70AD47" w:themeColor="accent6"/>
        <w:sz w:val="4"/>
        <w:szCs w:val="4"/>
      </w:rPr>
    </w:pPr>
  </w:p>
  <w:p w:rsidR="00AA2E16" w:rsidRPr="00533B18" w:rsidRDefault="00533B18" w:rsidP="00AA2E16">
    <w:pPr>
      <w:kinsoku w:val="0"/>
      <w:overflowPunct w:val="0"/>
      <w:autoSpaceDE w:val="0"/>
      <w:autoSpaceDN w:val="0"/>
      <w:adjustRightInd w:val="0"/>
      <w:jc w:val="right"/>
      <w:rPr>
        <w:rFonts w:asciiTheme="minorHAnsi" w:hAnsiTheme="minorHAnsi" w:cs="Frutiger LT 57 Cn"/>
        <w:color w:val="5BB030"/>
        <w:sz w:val="64"/>
        <w:szCs w:val="64"/>
      </w:rPr>
    </w:pPr>
    <w:proofErr w:type="gramStart"/>
    <w:r w:rsidRPr="00533B18">
      <w:rPr>
        <w:rFonts w:asciiTheme="minorHAnsi" w:hAnsiTheme="minorHAnsi" w:cs="Frutiger LT 57 Cn"/>
        <w:b/>
        <w:bCs/>
        <w:color w:val="5BB030"/>
        <w:spacing w:val="2"/>
        <w:sz w:val="26"/>
        <w:szCs w:val="26"/>
      </w:rPr>
      <w:t>providing</w:t>
    </w:r>
    <w:proofErr w:type="gramEnd"/>
    <w:r w:rsidRPr="00533B18">
      <w:rPr>
        <w:rFonts w:asciiTheme="minorHAnsi" w:hAnsiTheme="minorHAnsi" w:cs="Frutiger LT 57 Cn"/>
        <w:b/>
        <w:bCs/>
        <w:color w:val="5BB030"/>
        <w:spacing w:val="2"/>
        <w:sz w:val="26"/>
        <w:szCs w:val="26"/>
      </w:rPr>
      <w:t xml:space="preserve"> support to the third sector</w:t>
    </w:r>
  </w:p>
  <w:p w:rsidR="00AA2E16" w:rsidRPr="00533B18" w:rsidRDefault="00533B18" w:rsidP="00FC640B">
    <w:pPr>
      <w:pStyle w:val="Header"/>
      <w:rPr>
        <w:color w:val="5BB0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0B" w:rsidRPr="00BA543F" w:rsidRDefault="00533B18" w:rsidP="00AA2E16">
    <w:pPr>
      <w:kinsoku w:val="0"/>
      <w:overflowPunct w:val="0"/>
      <w:autoSpaceDE w:val="0"/>
      <w:autoSpaceDN w:val="0"/>
      <w:adjustRightInd w:val="0"/>
      <w:jc w:val="right"/>
      <w:rPr>
        <w:rFonts w:asciiTheme="minorHAnsi" w:hAnsiTheme="minorHAnsi" w:cs="Frutiger LT 57 Cn"/>
        <w:color w:val="70AD47" w:themeColor="accent6"/>
        <w:sz w:val="64"/>
        <w:szCs w:val="64"/>
      </w:rPr>
    </w:pPr>
    <w:r w:rsidRPr="00533B18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D9C67B" wp14:editId="7CA03745">
          <wp:simplePos x="0" y="0"/>
          <wp:positionH relativeFrom="page">
            <wp:align>left</wp:align>
          </wp:positionH>
          <wp:positionV relativeFrom="paragraph">
            <wp:posOffset>-381635</wp:posOffset>
          </wp:positionV>
          <wp:extent cx="2393315" cy="1263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B18">
      <w:rPr>
        <w:rFonts w:asciiTheme="minorHAnsi" w:hAnsiTheme="minorHAnsi" w:cs="Frutiger LT 57 Cn"/>
        <w:b/>
        <w:bCs/>
        <w:spacing w:val="14"/>
        <w:sz w:val="64"/>
        <w:szCs w:val="64"/>
      </w:rPr>
      <w:t>Pro Bono OR</w:t>
    </w:r>
  </w:p>
  <w:p w:rsidR="00FC640B" w:rsidRPr="00BA543F" w:rsidRDefault="00533B18" w:rsidP="00AA2E16">
    <w:pPr>
      <w:kinsoku w:val="0"/>
      <w:overflowPunct w:val="0"/>
      <w:autoSpaceDE w:val="0"/>
      <w:autoSpaceDN w:val="0"/>
      <w:adjustRightInd w:val="0"/>
      <w:ind w:firstLine="720"/>
      <w:jc w:val="right"/>
      <w:rPr>
        <w:rFonts w:asciiTheme="minorHAnsi" w:hAnsiTheme="minorHAnsi" w:cs="Frutiger LT 57 Cn"/>
        <w:color w:val="70AD47" w:themeColor="accent6"/>
        <w:sz w:val="4"/>
        <w:szCs w:val="4"/>
      </w:rPr>
    </w:pPr>
  </w:p>
  <w:p w:rsidR="00FC640B" w:rsidRPr="00533B18" w:rsidRDefault="00533B18" w:rsidP="00AA2E16">
    <w:pPr>
      <w:kinsoku w:val="0"/>
      <w:overflowPunct w:val="0"/>
      <w:autoSpaceDE w:val="0"/>
      <w:autoSpaceDN w:val="0"/>
      <w:adjustRightInd w:val="0"/>
      <w:jc w:val="right"/>
      <w:rPr>
        <w:rFonts w:asciiTheme="minorHAnsi" w:hAnsiTheme="minorHAnsi" w:cs="Frutiger LT 57 Cn"/>
        <w:color w:val="5BB030"/>
        <w:sz w:val="64"/>
        <w:szCs w:val="64"/>
      </w:rPr>
    </w:pPr>
    <w:proofErr w:type="gramStart"/>
    <w:r w:rsidRPr="00533B18">
      <w:rPr>
        <w:rFonts w:asciiTheme="minorHAnsi" w:hAnsiTheme="minorHAnsi" w:cs="Frutiger LT 57 Cn"/>
        <w:b/>
        <w:bCs/>
        <w:color w:val="5BB030"/>
        <w:spacing w:val="2"/>
        <w:sz w:val="26"/>
        <w:szCs w:val="26"/>
      </w:rPr>
      <w:t>providing</w:t>
    </w:r>
    <w:proofErr w:type="gramEnd"/>
    <w:r w:rsidRPr="00533B18">
      <w:rPr>
        <w:rFonts w:asciiTheme="minorHAnsi" w:hAnsiTheme="minorHAnsi" w:cs="Frutiger LT 57 Cn"/>
        <w:b/>
        <w:bCs/>
        <w:color w:val="5BB030"/>
        <w:spacing w:val="2"/>
        <w:sz w:val="26"/>
        <w:szCs w:val="26"/>
      </w:rPr>
      <w:t xml:space="preserve"> support to the third sector</w:t>
    </w:r>
  </w:p>
  <w:p w:rsidR="00483175" w:rsidRPr="00533B18" w:rsidRDefault="00533B18" w:rsidP="00FC640B">
    <w:pPr>
      <w:pStyle w:val="Header"/>
      <w:rPr>
        <w:color w:val="5BB0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079D"/>
    <w:multiLevelType w:val="hybridMultilevel"/>
    <w:tmpl w:val="A1666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18"/>
    <w:rsid w:val="000331F5"/>
    <w:rsid w:val="0053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409A"/>
  <w15:chartTrackingRefBased/>
  <w15:docId w15:val="{1E393A81-D4D8-4C01-B838-B7ABEB1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B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1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33B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1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33B18"/>
    <w:pPr>
      <w:ind w:left="720"/>
    </w:pPr>
  </w:style>
  <w:style w:type="character" w:styleId="Hyperlink">
    <w:name w:val="Hyperlink"/>
    <w:semiHidden/>
    <w:rsid w:val="00533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roBonoOR@theorsociety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amy.hughes@theorsocie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1</cp:revision>
  <dcterms:created xsi:type="dcterms:W3CDTF">2019-05-14T14:49:00Z</dcterms:created>
  <dcterms:modified xsi:type="dcterms:W3CDTF">2019-05-14T14:53:00Z</dcterms:modified>
</cp:coreProperties>
</file>