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158" w:rsidRDefault="00860378" w:rsidP="00860378">
      <w:pPr>
        <w:pStyle w:val="Heading1"/>
      </w:pPr>
      <w:r>
        <w:t>OR Society People Analytics Special Interest Group</w:t>
      </w:r>
    </w:p>
    <w:p w:rsidR="00860378" w:rsidRDefault="00860378" w:rsidP="00860378">
      <w:r>
        <w:t>AGM 18</w:t>
      </w:r>
      <w:r w:rsidRPr="00860378">
        <w:rPr>
          <w:vertAlign w:val="superscript"/>
        </w:rPr>
        <w:t>th</w:t>
      </w:r>
      <w:r>
        <w:t xml:space="preserve"> September 2018</w:t>
      </w:r>
    </w:p>
    <w:p w:rsidR="0019693B" w:rsidRDefault="0019693B" w:rsidP="00860378"/>
    <w:p w:rsidR="00860378" w:rsidRDefault="00A0420F" w:rsidP="00A0420F">
      <w:pPr>
        <w:pStyle w:val="Heading2"/>
      </w:pPr>
      <w:r>
        <w:t>Background</w:t>
      </w:r>
    </w:p>
    <w:p w:rsidR="00860378" w:rsidRDefault="00860378" w:rsidP="00860378">
      <w:r>
        <w:t xml:space="preserve">The People Analytics Special Interest Group has been running for just over a year, having been set up in July 2017. </w:t>
      </w:r>
      <w:r w:rsidR="00722663">
        <w:t>At the time of the AGM the group had 113 subscribers, of whom 75 were Operational Research Society members.</w:t>
      </w:r>
    </w:p>
    <w:p w:rsidR="00722663" w:rsidRDefault="00860378" w:rsidP="00722663">
      <w:pPr>
        <w:pStyle w:val="Heading2"/>
        <w:shd w:val="clear" w:color="auto" w:fill="FFFFFF"/>
        <w:spacing w:before="0" w:after="225" w:line="330" w:lineRule="atLeas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60378">
        <w:rPr>
          <w:rFonts w:asciiTheme="minorHAnsi" w:eastAsiaTheme="minorHAnsi" w:hAnsiTheme="minorHAnsi" w:cstheme="minorBidi"/>
          <w:color w:val="auto"/>
          <w:sz w:val="22"/>
          <w:szCs w:val="22"/>
        </w:rPr>
        <w:t>Our</w:t>
      </w:r>
      <w:r>
        <w:t xml:space="preserve"> </w:t>
      </w:r>
      <w:hyperlink r:id="rId5" w:history="1">
        <w:r w:rsidRPr="00860378">
          <w:rPr>
            <w:rStyle w:val="Hyperlink"/>
          </w:rPr>
          <w:t>first meeting</w:t>
        </w:r>
      </w:hyperlink>
      <w:r>
        <w:t xml:space="preserve"> </w:t>
      </w:r>
      <w:r w:rsidRPr="0086037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was on 17th </w:t>
      </w:r>
      <w:r w:rsidR="00722663">
        <w:rPr>
          <w:rFonts w:asciiTheme="minorHAnsi" w:eastAsiaTheme="minorHAnsi" w:hAnsiTheme="minorHAnsi" w:cstheme="minorBidi"/>
          <w:color w:val="auto"/>
          <w:sz w:val="22"/>
          <w:szCs w:val="22"/>
        </w:rPr>
        <w:t>April 2018</w:t>
      </w:r>
      <w:r w:rsidRPr="0086037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. We </w:t>
      </w:r>
      <w:r w:rsidR="00722663">
        <w:rPr>
          <w:rFonts w:asciiTheme="minorHAnsi" w:eastAsiaTheme="minorHAnsi" w:hAnsiTheme="minorHAnsi" w:cstheme="minorBidi"/>
          <w:color w:val="auto"/>
          <w:sz w:val="22"/>
          <w:szCs w:val="22"/>
        </w:rPr>
        <w:t>heard from a range of speakers about different aspects of People Analytics:</w:t>
      </w:r>
    </w:p>
    <w:p w:rsidR="00722663" w:rsidRDefault="00860378" w:rsidP="00722663">
      <w:pPr>
        <w:pStyle w:val="Heading2"/>
        <w:numPr>
          <w:ilvl w:val="0"/>
          <w:numId w:val="1"/>
        </w:numPr>
        <w:shd w:val="clear" w:color="auto" w:fill="FFFFFF"/>
        <w:spacing w:before="0" w:after="120" w:line="330" w:lineRule="atLeast"/>
        <w:ind w:left="714" w:hanging="357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722663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Time to Hire and Recruitment Diversity Reports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(</w:t>
      </w:r>
      <w:r w:rsidRPr="0086037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Konrad Wyszogrodzki - </w:t>
      </w:r>
      <w:r w:rsidRPr="00860378">
        <w:rPr>
          <w:rFonts w:asciiTheme="minorHAnsi" w:eastAsiaTheme="minorHAnsi" w:hAnsiTheme="minorHAnsi" w:cstheme="minorBidi"/>
          <w:color w:val="auto"/>
          <w:sz w:val="22"/>
          <w:szCs w:val="22"/>
        </w:rPr>
        <w:t>Ministry of Justice</w:t>
      </w:r>
      <w:r w:rsidRPr="00860378">
        <w:rPr>
          <w:rFonts w:asciiTheme="minorHAnsi" w:eastAsiaTheme="minorHAnsi" w:hAnsiTheme="minorHAnsi" w:cstheme="minorBidi"/>
          <w:color w:val="auto"/>
          <w:sz w:val="22"/>
          <w:szCs w:val="22"/>
        </w:rPr>
        <w:t>)</w:t>
      </w:r>
    </w:p>
    <w:p w:rsidR="00722663" w:rsidRDefault="00860378" w:rsidP="00722663">
      <w:pPr>
        <w:pStyle w:val="Heading2"/>
        <w:numPr>
          <w:ilvl w:val="0"/>
          <w:numId w:val="1"/>
        </w:numPr>
        <w:shd w:val="clear" w:color="auto" w:fill="FFFFFF"/>
        <w:spacing w:before="0" w:after="120" w:line="330" w:lineRule="atLeast"/>
        <w:ind w:left="714" w:hanging="357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722663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Forecasting the Age of the DWP’s future workforce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(Shane Kennedy – Department for Work and Pensions)</w:t>
      </w:r>
    </w:p>
    <w:p w:rsidR="00722663" w:rsidRDefault="00860378" w:rsidP="00722663">
      <w:pPr>
        <w:pStyle w:val="Heading2"/>
        <w:numPr>
          <w:ilvl w:val="0"/>
          <w:numId w:val="1"/>
        </w:numPr>
        <w:shd w:val="clear" w:color="auto" w:fill="FFFFFF"/>
        <w:spacing w:before="0" w:after="120" w:line="330" w:lineRule="atLeast"/>
        <w:ind w:left="714" w:hanging="357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722663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Equality and diversity in the legal profession: Using administrative data to understand intersectional penalties and privileges</w:t>
      </w:r>
      <w:r w:rsidR="00722663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(</w:t>
      </w:r>
      <w:proofErr w:type="spellStart"/>
      <w:r w:rsidR="00722663" w:rsidRPr="00722663">
        <w:rPr>
          <w:rFonts w:asciiTheme="minorHAnsi" w:eastAsiaTheme="minorHAnsi" w:hAnsiTheme="minorHAnsi" w:cstheme="minorBidi"/>
          <w:color w:val="auto"/>
          <w:sz w:val="22"/>
          <w:szCs w:val="22"/>
        </w:rPr>
        <w:t>Dr.</w:t>
      </w:r>
      <w:proofErr w:type="spellEnd"/>
      <w:r w:rsidR="00722663" w:rsidRPr="00722663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Danat </w:t>
      </w:r>
      <w:proofErr w:type="spellStart"/>
      <w:r w:rsidR="00722663" w:rsidRPr="00722663">
        <w:rPr>
          <w:rFonts w:asciiTheme="minorHAnsi" w:eastAsiaTheme="minorHAnsi" w:hAnsiTheme="minorHAnsi" w:cstheme="minorBidi"/>
          <w:color w:val="auto"/>
          <w:sz w:val="22"/>
          <w:szCs w:val="22"/>
        </w:rPr>
        <w:t>Valizade</w:t>
      </w:r>
      <w:proofErr w:type="spellEnd"/>
      <w:r w:rsidR="00722663" w:rsidRPr="00722663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- </w:t>
      </w:r>
      <w:r w:rsidR="00722663" w:rsidRPr="00722663">
        <w:rPr>
          <w:rFonts w:asciiTheme="minorHAnsi" w:eastAsiaTheme="minorHAnsi" w:hAnsiTheme="minorHAnsi" w:cstheme="minorBidi"/>
          <w:color w:val="auto"/>
          <w:sz w:val="22"/>
          <w:szCs w:val="22"/>
        </w:rPr>
        <w:t>Leeds University</w:t>
      </w:r>
      <w:r w:rsidR="00722663" w:rsidRPr="00722663">
        <w:rPr>
          <w:rFonts w:asciiTheme="minorHAnsi" w:eastAsiaTheme="minorHAnsi" w:hAnsiTheme="minorHAnsi" w:cstheme="minorBidi"/>
          <w:color w:val="auto"/>
          <w:sz w:val="22"/>
          <w:szCs w:val="22"/>
        </w:rPr>
        <w:t>),</w:t>
      </w:r>
      <w:r w:rsidR="00722663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and </w:t>
      </w:r>
    </w:p>
    <w:p w:rsidR="00722663" w:rsidRDefault="00722663" w:rsidP="00722663">
      <w:pPr>
        <w:pStyle w:val="Heading2"/>
        <w:numPr>
          <w:ilvl w:val="0"/>
          <w:numId w:val="1"/>
        </w:numPr>
        <w:shd w:val="clear" w:color="auto" w:fill="FFFFFF"/>
        <w:spacing w:before="0" w:after="120" w:line="330" w:lineRule="atLeast"/>
        <w:ind w:left="714" w:hanging="357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722663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People Analytics: The state of the field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(</w:t>
      </w:r>
      <w:r w:rsidRPr="00722663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Andy Charlwood </w:t>
      </w:r>
      <w:r w:rsidRPr="00722663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- </w:t>
      </w:r>
      <w:r w:rsidRPr="00722663">
        <w:rPr>
          <w:rFonts w:asciiTheme="minorHAnsi" w:eastAsiaTheme="minorHAnsi" w:hAnsiTheme="minorHAnsi" w:cstheme="minorBidi"/>
          <w:color w:val="auto"/>
          <w:sz w:val="22"/>
          <w:szCs w:val="22"/>
        </w:rPr>
        <w:t>Leeds University)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.</w:t>
      </w:r>
    </w:p>
    <w:p w:rsidR="00722663" w:rsidRDefault="00722663" w:rsidP="00722663">
      <w:r>
        <w:t>The AGM took place during our second meeting on 18</w:t>
      </w:r>
      <w:r w:rsidRPr="00722663">
        <w:rPr>
          <w:vertAlign w:val="superscript"/>
        </w:rPr>
        <w:t>th</w:t>
      </w:r>
      <w:r>
        <w:t xml:space="preserve"> September 2018. At this meeting we had talks about </w:t>
      </w:r>
    </w:p>
    <w:p w:rsidR="00722663" w:rsidRDefault="00722663" w:rsidP="00536F10">
      <w:pPr>
        <w:pStyle w:val="ListParagraph"/>
        <w:numPr>
          <w:ilvl w:val="0"/>
          <w:numId w:val="4"/>
        </w:numPr>
        <w:spacing w:before="100" w:beforeAutospacing="1" w:after="120"/>
        <w:ind w:left="714" w:hanging="357"/>
        <w:contextualSpacing w:val="0"/>
      </w:pPr>
      <w:r>
        <w:t>D</w:t>
      </w:r>
      <w:r w:rsidRPr="00722663">
        <w:rPr>
          <w:b/>
        </w:rPr>
        <w:t>emonstrating the alignment between analytics and business needs: Linking HR process and function to workforce pr</w:t>
      </w:r>
      <w:r w:rsidRPr="00722663">
        <w:rPr>
          <w:b/>
        </w:rPr>
        <w:t xml:space="preserve">oductivity and business success - </w:t>
      </w:r>
      <w:r>
        <w:t xml:space="preserve">James Holdstock (TfL), </w:t>
      </w:r>
      <w:proofErr w:type="spellStart"/>
      <w:r>
        <w:t>Feraz</w:t>
      </w:r>
      <w:proofErr w:type="spellEnd"/>
      <w:r>
        <w:t xml:space="preserve"> </w:t>
      </w:r>
      <w:proofErr w:type="spellStart"/>
      <w:r>
        <w:t>Ishfaq</w:t>
      </w:r>
      <w:proofErr w:type="spellEnd"/>
      <w:r>
        <w:t xml:space="preserve"> (Financial Times)</w:t>
      </w:r>
    </w:p>
    <w:p w:rsidR="00722663" w:rsidRPr="00722663" w:rsidRDefault="00722663" w:rsidP="00536F10">
      <w:pPr>
        <w:pStyle w:val="ListParagraph"/>
        <w:numPr>
          <w:ilvl w:val="0"/>
          <w:numId w:val="4"/>
        </w:numPr>
        <w:spacing w:before="100" w:beforeAutospacing="1" w:after="120"/>
        <w:contextualSpacing w:val="0"/>
        <w:rPr>
          <w:b/>
        </w:rPr>
      </w:pPr>
      <w:r w:rsidRPr="00722663">
        <w:rPr>
          <w:b/>
        </w:rPr>
        <w:t>How McKinsey use advanced analytics in their people decisions</w:t>
      </w:r>
      <w:r>
        <w:t xml:space="preserve"> - </w:t>
      </w:r>
      <w:r w:rsidRPr="00722663">
        <w:t>Keith McNulty, McKinsey</w:t>
      </w:r>
    </w:p>
    <w:p w:rsidR="00722663" w:rsidRPr="00722663" w:rsidRDefault="00722663" w:rsidP="00536F10">
      <w:pPr>
        <w:pStyle w:val="ListParagraph"/>
        <w:numPr>
          <w:ilvl w:val="0"/>
          <w:numId w:val="4"/>
        </w:numPr>
        <w:spacing w:before="100" w:beforeAutospacing="1" w:after="120"/>
        <w:contextualSpacing w:val="0"/>
      </w:pPr>
      <w:r w:rsidRPr="00730E3C">
        <w:rPr>
          <w:b/>
        </w:rPr>
        <w:t>People analytics: are businesses using people data to its full potential?</w:t>
      </w:r>
      <w:r w:rsidR="00730E3C" w:rsidRPr="00730E3C">
        <w:rPr>
          <w:b/>
        </w:rPr>
        <w:t xml:space="preserve"> - </w:t>
      </w:r>
      <w:r w:rsidRPr="00730E3C">
        <w:t>Edward Houghton, Head of Research and Thought Leadership, CIPD</w:t>
      </w:r>
    </w:p>
    <w:p w:rsidR="00860378" w:rsidRDefault="00A47DBE" w:rsidP="00860378">
      <w:pPr>
        <w:pStyle w:val="Heading2"/>
        <w:shd w:val="clear" w:color="auto" w:fill="FFFFFF"/>
        <w:spacing w:before="0" w:after="225" w:line="330" w:lineRule="atLeas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A write up of the talks will be shared on the People Analytics SIG pages on the OR Society website: </w:t>
      </w:r>
      <w:hyperlink r:id="rId6" w:history="1">
        <w:r w:rsidRPr="00B94E5D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https://www.theorsociety.com/Pages/SpecialInterest/PeopleAnalytics.aspx</w:t>
        </w:r>
      </w:hyperlink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p w:rsidR="000C28CC" w:rsidRDefault="000C28CC" w:rsidP="00A0420F">
      <w:pPr>
        <w:pStyle w:val="Heading2"/>
      </w:pPr>
    </w:p>
    <w:p w:rsidR="00A47DBE" w:rsidRDefault="00A0420F" w:rsidP="00A0420F">
      <w:pPr>
        <w:pStyle w:val="Heading2"/>
      </w:pPr>
      <w:r>
        <w:t>AGM</w:t>
      </w:r>
    </w:p>
    <w:p w:rsidR="00A47DBE" w:rsidRDefault="00A47DBE" w:rsidP="00A47DBE">
      <w:r>
        <w:t xml:space="preserve">During the AGM, the chair, Jill Millichamp called for additional volunteers for the committee (offers were received from Hazel Challenger, Catriona Smith and Kate </w:t>
      </w:r>
      <w:proofErr w:type="spellStart"/>
      <w:r>
        <w:t>Brosnan</w:t>
      </w:r>
      <w:proofErr w:type="spellEnd"/>
      <w:r>
        <w:t>), and it was agreed that the committee would be formed thus:</w:t>
      </w:r>
    </w:p>
    <w:p w:rsidR="00A47DBE" w:rsidRPr="00A47DBE" w:rsidRDefault="00A47DBE" w:rsidP="00A47DBE">
      <w:pPr>
        <w:pStyle w:val="ihackeybullets"/>
        <w:shd w:val="clear" w:color="auto" w:fill="FFFFFF"/>
        <w:spacing w:before="0" w:beforeAutospacing="0" w:after="180" w:afterAutospacing="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A47DB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Chair:</w:t>
      </w:r>
      <w:r w:rsidRPr="00A47DB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 </w:t>
      </w:r>
      <w:r w:rsidRPr="00A47DB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Jill Millichamp (DWP)</w:t>
      </w:r>
      <w:r>
        <w:rPr>
          <w:rFonts w:ascii="Arial" w:hAnsi="Arial" w:cs="Arial"/>
          <w:color w:val="444444"/>
          <w:sz w:val="18"/>
          <w:szCs w:val="18"/>
        </w:rPr>
        <w:t> </w:t>
      </w:r>
      <w:r w:rsidRPr="00A47DBE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–Call, officiate and conduct meetings</w:t>
      </w:r>
    </w:p>
    <w:p w:rsidR="00A47DBE" w:rsidRPr="00A47DBE" w:rsidRDefault="00A47DBE" w:rsidP="00A47DBE">
      <w:pPr>
        <w:pStyle w:val="ihackeybullets"/>
        <w:shd w:val="clear" w:color="auto" w:fill="FFFFFF"/>
        <w:spacing w:before="0" w:beforeAutospacing="0" w:after="180" w:afterAutospacing="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A47DB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Secretary:</w:t>
      </w:r>
      <w:r w:rsidRPr="00A47DBE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 </w:t>
      </w:r>
      <w:r w:rsidRPr="00A47DB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Tommy Fennelly (IBM)</w:t>
      </w:r>
      <w:r w:rsidRPr="00A47DBE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 – minutes the meeting, keeps membership up to date, Updates Future meetings page of OR Society</w:t>
      </w:r>
    </w:p>
    <w:p w:rsidR="00A47DBE" w:rsidRPr="00A47DBE" w:rsidRDefault="00A47DBE" w:rsidP="00A47DBE">
      <w:pPr>
        <w:pStyle w:val="ihackeybullets"/>
        <w:shd w:val="clear" w:color="auto" w:fill="FFFFFF"/>
        <w:spacing w:before="0" w:beforeAutospacing="0" w:after="180" w:afterAutospacing="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A47DB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Event Communications:</w:t>
      </w:r>
      <w:r w:rsidRPr="00A47DBE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 </w:t>
      </w:r>
      <w:r w:rsidRPr="00A47DB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Katie Gronow (</w:t>
      </w:r>
      <w:proofErr w:type="spellStart"/>
      <w:r w:rsidRPr="00A47DB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DfT</w:t>
      </w:r>
      <w:proofErr w:type="spellEnd"/>
      <w:r w:rsidRPr="00A47DB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)</w:t>
      </w:r>
      <w:r w:rsidRPr="00A47DBE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 – advertises events and writes report for HR Society</w:t>
      </w:r>
    </w:p>
    <w:p w:rsidR="00A47DBE" w:rsidRDefault="00A47DBE" w:rsidP="00A47DBE">
      <w:pPr>
        <w:pStyle w:val="ihackeybulletslastbullet"/>
        <w:shd w:val="clear" w:color="auto" w:fill="FFFFFF"/>
        <w:spacing w:before="0" w:beforeAutospacing="0" w:after="180" w:afterAutospacing="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A47DB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Event Planning: to be covered by other committee members</w:t>
      </w:r>
      <w:r w:rsidRPr="00A47DBE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 – organises room/Video Conference/speakers</w:t>
      </w:r>
    </w:p>
    <w:p w:rsidR="00A47DBE" w:rsidRDefault="00A47DBE" w:rsidP="00A47DBE">
      <w:pPr>
        <w:pStyle w:val="ihackeybulletslastbullet"/>
        <w:shd w:val="clear" w:color="auto" w:fill="FFFFFF"/>
        <w:spacing w:before="0" w:beforeAutospacing="0" w:after="180" w:afterAutospacing="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lastRenderedPageBreak/>
        <w:t>Othe</w:t>
      </w:r>
      <w:r w:rsidR="00A0420F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r volunteers are always welcome to help with organising events or suggesting speakers, or to take a core role on the committee (please get in touch with </w:t>
      </w:r>
      <w:r w:rsidR="00A0420F" w:rsidRPr="00A0420F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JILL.MILLICHAMP@DWP.GSI.GOV.UK </w:t>
      </w:r>
      <w:r w:rsidR="00A0420F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if you wish to get involved in any way).</w:t>
      </w:r>
    </w:p>
    <w:p w:rsidR="00A0420F" w:rsidRDefault="00A47DBE" w:rsidP="00A47DBE">
      <w:pPr>
        <w:pStyle w:val="ihackeybulletslastbullet"/>
        <w:shd w:val="clear" w:color="auto" w:fill="FFFFFF"/>
        <w:spacing w:before="0" w:beforeAutospacing="0" w:after="180" w:afterAutospacing="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It was agreed that the </w:t>
      </w:r>
      <w:hyperlink r:id="rId7" w:history="1">
        <w:r w:rsidRPr="00A0420F">
          <w:rPr>
            <w:rStyle w:val="Hyperlink"/>
            <w:rFonts w:asciiTheme="minorHAnsi" w:eastAsiaTheme="minorHAnsi" w:hAnsiTheme="minorHAnsi" w:cstheme="minorBidi"/>
            <w:bCs/>
            <w:sz w:val="22"/>
            <w:szCs w:val="22"/>
            <w:lang w:eastAsia="en-US"/>
          </w:rPr>
          <w:t>Terms of Reference</w:t>
        </w:r>
      </w:hyperlink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for the group would stay the same.</w:t>
      </w:r>
    </w:p>
    <w:p w:rsidR="000C28CC" w:rsidRDefault="000C28CC" w:rsidP="00A0420F">
      <w:pPr>
        <w:pStyle w:val="Heading2"/>
        <w:rPr>
          <w:rFonts w:eastAsiaTheme="minorHAnsi"/>
        </w:rPr>
      </w:pPr>
    </w:p>
    <w:p w:rsidR="00A0420F" w:rsidRDefault="00A0420F" w:rsidP="00A0420F">
      <w:pPr>
        <w:pStyle w:val="Heading2"/>
        <w:rPr>
          <w:rFonts w:eastAsiaTheme="minorHAnsi"/>
        </w:rPr>
      </w:pPr>
      <w:r>
        <w:rPr>
          <w:rFonts w:eastAsiaTheme="minorHAnsi"/>
        </w:rPr>
        <w:t>Finding out about our group</w:t>
      </w:r>
    </w:p>
    <w:p w:rsidR="00A0420F" w:rsidRDefault="00A0420F" w:rsidP="00A47DBE">
      <w:pPr>
        <w:pStyle w:val="ihackeybulletslastbullet"/>
        <w:shd w:val="clear" w:color="auto" w:fill="FFFFFF"/>
        <w:spacing w:before="0" w:beforeAutospacing="0" w:after="180" w:afterAutospacing="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We used the September meeting to find out about the member of our group, and those who attended the meeting – we wanted to know about the areas they worked in, what their interested were, and what they wanted from the SIG.</w:t>
      </w:r>
    </w:p>
    <w:p w:rsidR="00D2129B" w:rsidRPr="00D2129B" w:rsidRDefault="00D2129B" w:rsidP="00A47DBE">
      <w:pPr>
        <w:pStyle w:val="ihackeybulletslastbullet"/>
        <w:shd w:val="clear" w:color="auto" w:fill="FFFFFF"/>
        <w:spacing w:before="0" w:beforeAutospacing="0" w:after="180" w:afterAutospacing="0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D2129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Question 1: How would you describe your role?</w:t>
      </w:r>
    </w:p>
    <w:p w:rsidR="00D2129B" w:rsidRPr="00A47DBE" w:rsidRDefault="00676980" w:rsidP="00A47DBE">
      <w:pPr>
        <w:pStyle w:val="ihackeybulletslastbullet"/>
        <w:shd w:val="clear" w:color="auto" w:fill="FFFFFF"/>
        <w:spacing w:before="0" w:beforeAutospacing="0" w:after="180" w:afterAutospacing="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Cs/>
          <w:noProof/>
          <w:sz w:val="22"/>
          <w:szCs w:val="22"/>
        </w:rPr>
        <w:drawing>
          <wp:inline distT="0" distB="0" distL="0" distR="0" wp14:anchorId="0CE46B45">
            <wp:extent cx="5748655" cy="210447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310" cy="21171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693B" w:rsidRDefault="0019693B" w:rsidP="00A47DBE">
      <w:pPr>
        <w:rPr>
          <w:b/>
        </w:rPr>
      </w:pPr>
    </w:p>
    <w:p w:rsidR="00D2129B" w:rsidRPr="00D2129B" w:rsidRDefault="00D2129B" w:rsidP="00A47DBE">
      <w:pPr>
        <w:rPr>
          <w:b/>
        </w:rPr>
      </w:pPr>
      <w:r w:rsidRPr="00D2129B">
        <w:rPr>
          <w:b/>
        </w:rPr>
        <w:t>Question 2: What are the main areas you work in in People Analytics (up to 3 answers each)</w:t>
      </w:r>
    </w:p>
    <w:p w:rsidR="00A47DBE" w:rsidRDefault="003C3EFC" w:rsidP="00A47DBE">
      <w:r>
        <w:rPr>
          <w:noProof/>
          <w:lang w:eastAsia="en-GB"/>
        </w:rPr>
        <w:drawing>
          <wp:inline distT="0" distB="0" distL="0" distR="0">
            <wp:extent cx="3238500" cy="2548711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0925_PeopleAnalyticsSIG_September2018Meeting_SlidoWordCloud_Blue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27" t="22861" r="28540" b="20506"/>
                    <a:stretch/>
                  </pic:blipFill>
                  <pic:spPr bwMode="auto">
                    <a:xfrm>
                      <a:off x="0" y="0"/>
                      <a:ext cx="3246717" cy="2555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47DBE">
        <w:br/>
      </w:r>
    </w:p>
    <w:p w:rsidR="0019693B" w:rsidRDefault="0019693B" w:rsidP="00A47DBE">
      <w:pPr>
        <w:rPr>
          <w:b/>
        </w:rPr>
      </w:pPr>
      <w:r w:rsidRPr="0019693B">
        <w:rPr>
          <w:b/>
        </w:rPr>
        <w:t>Question 3: Why are you here and/or what are you hoping to get from the People Analytics SIG?</w:t>
      </w:r>
    </w:p>
    <w:p w:rsidR="00AD5E2A" w:rsidRDefault="00AD5E2A" w:rsidP="00A47DBE">
      <w:r w:rsidRPr="00AD5E2A">
        <w:t>Responses to this question could be broadly categorised into the following groups (number of responses in brackets)</w:t>
      </w:r>
    </w:p>
    <w:p w:rsidR="00AD5E2A" w:rsidRDefault="00CF1342" w:rsidP="008F3B9E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</w:pPr>
      <w:r>
        <w:t xml:space="preserve">To find out more about </w:t>
      </w:r>
      <w:r w:rsidRPr="00CF1342">
        <w:rPr>
          <w:b/>
        </w:rPr>
        <w:t>h</w:t>
      </w:r>
      <w:r w:rsidR="00AD5E2A" w:rsidRPr="00CF1342">
        <w:rPr>
          <w:b/>
        </w:rPr>
        <w:t>ow</w:t>
      </w:r>
      <w:r w:rsidR="00AD5E2A">
        <w:t xml:space="preserve"> other people/organisations do People Analytics - tools, techniques, best practise, </w:t>
      </w:r>
      <w:proofErr w:type="spellStart"/>
      <w:r w:rsidR="00AD5E2A">
        <w:t>etc</w:t>
      </w:r>
      <w:proofErr w:type="spellEnd"/>
      <w:r w:rsidR="00AD5E2A">
        <w:t xml:space="preserve"> (31)</w:t>
      </w:r>
    </w:p>
    <w:p w:rsidR="00AD5E2A" w:rsidRDefault="00CF1342" w:rsidP="008F3B9E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</w:pPr>
      <w:r>
        <w:lastRenderedPageBreak/>
        <w:t xml:space="preserve">The find out </w:t>
      </w:r>
      <w:r w:rsidRPr="00CF1342">
        <w:rPr>
          <w:b/>
        </w:rPr>
        <w:t>what</w:t>
      </w:r>
      <w:r>
        <w:t xml:space="preserve"> People analytics is being done elsewhere – what problems is it addressing, what innovative and new ideas are being looked at, what are the latest trends, and what is having an impact (25)</w:t>
      </w:r>
    </w:p>
    <w:p w:rsidR="00CF1342" w:rsidRDefault="00CF1342" w:rsidP="008F3B9E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</w:pPr>
      <w:r>
        <w:t>For networking (9)</w:t>
      </w:r>
    </w:p>
    <w:p w:rsidR="00CF1342" w:rsidRDefault="00CF1342" w:rsidP="008F3B9E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</w:pPr>
      <w:r>
        <w:t>To find out about how HR and analysis functions are structured and work together in different organisations (8)</w:t>
      </w:r>
    </w:p>
    <w:p w:rsidR="00CF1342" w:rsidRDefault="00CF1342" w:rsidP="008F3B9E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</w:pPr>
      <w:r>
        <w:t>For general interest (7)</w:t>
      </w:r>
    </w:p>
    <w:p w:rsidR="00906D4F" w:rsidRDefault="00906D4F" w:rsidP="008F3B9E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</w:pPr>
      <w:r>
        <w:t>For benchmarking (2)</w:t>
      </w:r>
    </w:p>
    <w:p w:rsidR="00CD20EE" w:rsidRDefault="00CD20EE" w:rsidP="00CD20EE">
      <w:pPr>
        <w:spacing w:after="120"/>
      </w:pPr>
    </w:p>
    <w:p w:rsidR="006A440A" w:rsidRDefault="006A440A" w:rsidP="00CD20EE">
      <w:pPr>
        <w:spacing w:after="120"/>
      </w:pPr>
    </w:p>
    <w:p w:rsidR="00CD20EE" w:rsidRDefault="00CD20EE" w:rsidP="00CD20EE">
      <w:pPr>
        <w:spacing w:after="120"/>
      </w:pPr>
      <w:bookmarkStart w:id="0" w:name="_GoBack"/>
      <w:bookmarkEnd w:id="0"/>
      <w:r>
        <w:t>Katie Gronow</w:t>
      </w:r>
    </w:p>
    <w:p w:rsidR="00CD20EE" w:rsidRPr="00AD5E2A" w:rsidRDefault="00CD20EE" w:rsidP="00CD20EE">
      <w:pPr>
        <w:spacing w:after="120"/>
      </w:pPr>
      <w:r>
        <w:t>10/10/2018</w:t>
      </w:r>
    </w:p>
    <w:p w:rsidR="0019693B" w:rsidRDefault="0019693B" w:rsidP="00A47DBE"/>
    <w:p w:rsidR="00A47DBE" w:rsidRDefault="00A47DBE" w:rsidP="00A47DBE"/>
    <w:p w:rsidR="00A47DBE" w:rsidRPr="00A47DBE" w:rsidRDefault="00A47DBE" w:rsidP="00A47DBE"/>
    <w:p w:rsidR="00860378" w:rsidRPr="00860378" w:rsidRDefault="00860378" w:rsidP="00860378">
      <w:pPr>
        <w:pStyle w:val="Heading2"/>
        <w:shd w:val="clear" w:color="auto" w:fill="FFFFFF"/>
        <w:spacing w:before="0" w:after="225" w:line="330" w:lineRule="atLeast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860378" w:rsidRDefault="00860378" w:rsidP="00860378">
      <w:pPr>
        <w:pStyle w:val="Heading2"/>
        <w:shd w:val="clear" w:color="auto" w:fill="FFFFFF"/>
        <w:spacing w:before="0" w:after="225" w:line="330" w:lineRule="atLeast"/>
        <w:rPr>
          <w:rFonts w:ascii="Arial" w:hAnsi="Arial" w:cs="Arial"/>
          <w:color w:val="444444"/>
          <w:sz w:val="33"/>
          <w:szCs w:val="33"/>
        </w:rPr>
      </w:pPr>
    </w:p>
    <w:p w:rsidR="00860378" w:rsidRDefault="00860378" w:rsidP="00860378"/>
    <w:p w:rsidR="00860378" w:rsidRPr="00860378" w:rsidRDefault="00860378" w:rsidP="00860378"/>
    <w:p w:rsidR="00860378" w:rsidRDefault="00860378"/>
    <w:sectPr w:rsidR="00860378" w:rsidSect="008F3B9E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66E0D"/>
    <w:multiLevelType w:val="hybridMultilevel"/>
    <w:tmpl w:val="50D45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96A81"/>
    <w:multiLevelType w:val="hybridMultilevel"/>
    <w:tmpl w:val="4E324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F67D5"/>
    <w:multiLevelType w:val="hybridMultilevel"/>
    <w:tmpl w:val="57221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C2E2A"/>
    <w:multiLevelType w:val="hybridMultilevel"/>
    <w:tmpl w:val="6944C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426CC"/>
    <w:multiLevelType w:val="hybridMultilevel"/>
    <w:tmpl w:val="9A2E6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251FD"/>
    <w:multiLevelType w:val="multilevel"/>
    <w:tmpl w:val="4AE8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78"/>
    <w:rsid w:val="00072868"/>
    <w:rsid w:val="000C28CC"/>
    <w:rsid w:val="0019693B"/>
    <w:rsid w:val="003C3EFC"/>
    <w:rsid w:val="0051724F"/>
    <w:rsid w:val="00536F10"/>
    <w:rsid w:val="00676980"/>
    <w:rsid w:val="006A440A"/>
    <w:rsid w:val="00722663"/>
    <w:rsid w:val="00730E3C"/>
    <w:rsid w:val="00860378"/>
    <w:rsid w:val="008F3B9E"/>
    <w:rsid w:val="00906D4F"/>
    <w:rsid w:val="00A00D1A"/>
    <w:rsid w:val="00A0420F"/>
    <w:rsid w:val="00A47DBE"/>
    <w:rsid w:val="00AD5E2A"/>
    <w:rsid w:val="00CD20EE"/>
    <w:rsid w:val="00CF1342"/>
    <w:rsid w:val="00D2129B"/>
    <w:rsid w:val="00D8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55EB2-05D6-4433-9BEF-04F31C50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03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3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3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6037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603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2266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22663"/>
    <w:rPr>
      <w:i/>
      <w:iCs/>
    </w:rPr>
  </w:style>
  <w:style w:type="paragraph" w:customStyle="1" w:styleId="ihackeybullets">
    <w:name w:val="ihackeybullets"/>
    <w:basedOn w:val="Normal"/>
    <w:rsid w:val="00A4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47DBE"/>
    <w:rPr>
      <w:b/>
      <w:bCs/>
    </w:rPr>
  </w:style>
  <w:style w:type="paragraph" w:customStyle="1" w:styleId="ihackeybulletslastbullet">
    <w:name w:val="ihackeybulletslastbullet"/>
    <w:basedOn w:val="Normal"/>
    <w:rsid w:val="00A4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theorsociety.com/Blog/Blog.aspx?ig=45&amp;d=1_3_2018&amp;type=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orsociety.com/Pages/SpecialInterest/PeopleAnalytics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heorsociety.com/Blog/people-analytics/20180802161054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DfT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Gronow</dc:creator>
  <cp:keywords/>
  <dc:description/>
  <cp:lastModifiedBy>Katie Gronow</cp:lastModifiedBy>
  <cp:revision>14</cp:revision>
  <dcterms:created xsi:type="dcterms:W3CDTF">2018-10-10T21:22:00Z</dcterms:created>
  <dcterms:modified xsi:type="dcterms:W3CDTF">2018-10-10T22:39:00Z</dcterms:modified>
</cp:coreProperties>
</file>