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D0" w:rsidRDefault="00D059C2" w:rsidP="00EB4D8E">
      <w:pPr>
        <w:pStyle w:val="Heading1"/>
        <w:rPr>
          <w:sz w:val="48"/>
        </w:rPr>
      </w:pPr>
      <w:r>
        <w:rPr>
          <w:sz w:val="48"/>
        </w:rPr>
        <w:t>I</w:t>
      </w:r>
      <w:r w:rsidR="00C154D0">
        <w:rPr>
          <w:sz w:val="48"/>
        </w:rPr>
        <w:t>nformation for Stream Organisers</w:t>
      </w:r>
    </w:p>
    <w:p w:rsidR="00C154D0" w:rsidRDefault="00C154D0" w:rsidP="00C154D0">
      <w:pPr>
        <w:outlineLvl w:val="0"/>
        <w:rPr>
          <w:b/>
          <w:szCs w:val="24"/>
        </w:rPr>
      </w:pPr>
    </w:p>
    <w:p w:rsidR="00C154D0" w:rsidRPr="00CE4E00" w:rsidRDefault="00C154D0" w:rsidP="00C154D0">
      <w:pPr>
        <w:outlineLvl w:val="0"/>
        <w:rPr>
          <w:b/>
        </w:rPr>
      </w:pPr>
      <w:r w:rsidRPr="00C154D0">
        <w:rPr>
          <w:sz w:val="24"/>
          <w:szCs w:val="24"/>
        </w:rPr>
        <w:t>The role of a Stream Organiser</w:t>
      </w:r>
    </w:p>
    <w:p w:rsidR="00C154D0" w:rsidRPr="00CE4E00" w:rsidRDefault="00C154D0" w:rsidP="00C154D0">
      <w:pPr>
        <w:ind w:left="720" w:hanging="720"/>
        <w:jc w:val="both"/>
        <w:outlineLvl w:val="0"/>
      </w:pPr>
      <w:r w:rsidRPr="00CE4E00">
        <w:t>1</w:t>
      </w:r>
      <w:r w:rsidRPr="00CE4E00">
        <w:tab/>
        <w:t xml:space="preserve">To provide an exciting definition for your stream so as to encourage authors to submit a paper and for the website and Conference Handbook. There may be a particular theme which is helpful for delegates to be made aware of. </w:t>
      </w:r>
    </w:p>
    <w:p w:rsidR="00C154D0" w:rsidRPr="00CE4E00" w:rsidRDefault="00C154D0" w:rsidP="00C154D0">
      <w:pPr>
        <w:ind w:left="720" w:hanging="720"/>
        <w:jc w:val="both"/>
        <w:outlineLvl w:val="0"/>
      </w:pPr>
      <w:r w:rsidRPr="00CE4E00">
        <w:t>2</w:t>
      </w:r>
      <w:r w:rsidRPr="00CE4E00">
        <w:tab/>
      </w:r>
      <w:r>
        <w:t>To provide a ‘</w:t>
      </w:r>
      <w:r w:rsidRPr="00CA5B1E">
        <w:rPr>
          <w:b/>
        </w:rPr>
        <w:t>high resolution’</w:t>
      </w:r>
      <w:r>
        <w:t xml:space="preserve"> </w:t>
      </w:r>
      <w:r w:rsidRPr="00CA5B1E">
        <w:t>photograph of yourself that is at least 400 kilobytes in size, if not 1 to 2 megabytes.  </w:t>
      </w:r>
      <w:r>
        <w:t>This is</w:t>
      </w:r>
      <w:r w:rsidRPr="00CA5B1E">
        <w:t xml:space="preserve"> for inclusion on the </w:t>
      </w:r>
      <w:r w:rsidR="00951C5B">
        <w:t>New to OR 2019</w:t>
      </w:r>
      <w:r w:rsidRPr="00CA5B1E">
        <w:t xml:space="preserve"> website and in the conference handbook. Please send 1 and 2 to</w:t>
      </w:r>
      <w:r w:rsidR="00951C5B">
        <w:t xml:space="preserve"> </w:t>
      </w:r>
      <w:hyperlink r:id="rId7" w:history="1">
        <w:r w:rsidRPr="00CA5B1E">
          <w:rPr>
            <w:rStyle w:val="Hyperlink"/>
          </w:rPr>
          <w:t>hilary.wilkes@theorsociety.com</w:t>
        </w:r>
      </w:hyperlink>
      <w:r w:rsidRPr="00CA5B1E">
        <w:t>.</w:t>
      </w:r>
    </w:p>
    <w:p w:rsidR="00C154D0" w:rsidRPr="00951C5B" w:rsidRDefault="00C154D0" w:rsidP="00951C5B">
      <w:pPr>
        <w:autoSpaceDE w:val="0"/>
        <w:autoSpaceDN w:val="0"/>
        <w:adjustRightInd w:val="0"/>
        <w:ind w:left="720" w:hanging="720"/>
      </w:pPr>
      <w:r w:rsidRPr="00CE4E00">
        <w:t>3</w:t>
      </w:r>
      <w:r w:rsidRPr="00CE4E00">
        <w:tab/>
      </w:r>
      <w:r w:rsidRPr="00DE5B07">
        <w:t xml:space="preserve">A stream normally contains about 8 papers, although there is quite a wide range and no upper limit </w:t>
      </w:r>
      <w:r>
        <w:t xml:space="preserve">– </w:t>
      </w:r>
      <w:r w:rsidRPr="00DE5B07">
        <w:t>the largest stream may need to run parallel sessions.  To be viable as a stream you need at least 3 papers. If you do not get 3, then we may combine related streams. Normally a session will consist of 3 half-hour slots, but this may vary if there is a Keynote S</w:t>
      </w:r>
      <w:r>
        <w:t xml:space="preserve">peaker for the Stream. </w:t>
      </w:r>
      <w:r w:rsidRPr="00DE5B07">
        <w:rPr>
          <w:b/>
        </w:rPr>
        <w:t>Please ensure each presenter is provided with a copy of the</w:t>
      </w:r>
      <w:r w:rsidR="00951C5B">
        <w:rPr>
          <w:b/>
        </w:rPr>
        <w:t xml:space="preserve"> </w:t>
      </w:r>
      <w:r w:rsidRPr="00DE5B07">
        <w:rPr>
          <w:b/>
        </w:rPr>
        <w:t>Information for Presenters</w:t>
      </w:r>
      <w:r w:rsidR="00951C5B">
        <w:rPr>
          <w:b/>
        </w:rPr>
        <w:t xml:space="preserve"> </w:t>
      </w:r>
      <w:r w:rsidRPr="00DE5B07">
        <w:rPr>
          <w:b/>
        </w:rPr>
        <w:t xml:space="preserve">sheet </w:t>
      </w:r>
      <w:r w:rsidR="00951C5B" w:rsidRPr="00951C5B">
        <w:t>(</w:t>
      </w:r>
      <w:hyperlink r:id="rId8" w:history="1">
        <w:r w:rsidR="00951C5B" w:rsidRPr="00951C5B">
          <w:rPr>
            <w:rStyle w:val="Hyperlink"/>
          </w:rPr>
          <w:t>www.theorsociety.com/NEW2OR2019</w:t>
        </w:r>
      </w:hyperlink>
      <w:r w:rsidRPr="00951C5B">
        <w:t>).</w:t>
      </w:r>
    </w:p>
    <w:p w:rsidR="00C154D0" w:rsidRPr="00CE4E00" w:rsidRDefault="00C154D0" w:rsidP="00951C5B">
      <w:pPr>
        <w:autoSpaceDE w:val="0"/>
        <w:autoSpaceDN w:val="0"/>
        <w:adjustRightInd w:val="0"/>
        <w:ind w:left="720" w:hanging="720"/>
        <w:jc w:val="both"/>
      </w:pPr>
      <w:r w:rsidRPr="00DE5B07">
        <w:t>4</w:t>
      </w:r>
      <w:r w:rsidRPr="00DE5B07">
        <w:tab/>
        <w:t>If possible, obtain a Keynote Speaker for the stream.  The Keynote Speaker normally speaks about a significant development in the field or provides an overview about the current status of the topic area. They</w:t>
      </w:r>
      <w:r w:rsidRPr="00CE4E00">
        <w:t xml:space="preserve"> are </w:t>
      </w:r>
      <w:r>
        <w:t>usually</w:t>
      </w:r>
      <w:r w:rsidRPr="00CE4E00">
        <w:t xml:space="preserve"> allocated a one-hour slot in the stream.  </w:t>
      </w:r>
      <w:r w:rsidRPr="00CE4E00">
        <w:rPr>
          <w:b/>
        </w:rPr>
        <w:t>Please ensure each Keynote Speaker is provided with a copy of the</w:t>
      </w:r>
      <w:r>
        <w:rPr>
          <w:b/>
        </w:rPr>
        <w:t xml:space="preserve"> </w:t>
      </w:r>
      <w:r w:rsidRPr="00CE4E00">
        <w:rPr>
          <w:b/>
        </w:rPr>
        <w:t xml:space="preserve">Information for Keynote </w:t>
      </w:r>
      <w:r w:rsidR="00951C5B">
        <w:rPr>
          <w:b/>
        </w:rPr>
        <w:t>Speakers</w:t>
      </w:r>
      <w:r>
        <w:rPr>
          <w:b/>
        </w:rPr>
        <w:t xml:space="preserve"> sheet </w:t>
      </w:r>
      <w:r w:rsidR="00951C5B">
        <w:t>(</w:t>
      </w:r>
      <w:hyperlink r:id="rId9" w:history="1">
        <w:r w:rsidR="00951C5B" w:rsidRPr="00951C5B">
          <w:rPr>
            <w:rStyle w:val="Hyperlink"/>
          </w:rPr>
          <w:t>www.theorsociety.com/NEW2OR2019</w:t>
        </w:r>
      </w:hyperlink>
      <w:r w:rsidRPr="00951C5B">
        <w:t>).</w:t>
      </w:r>
    </w:p>
    <w:p w:rsidR="00C154D0" w:rsidRPr="00CE4E00" w:rsidRDefault="00C154D0" w:rsidP="00C154D0">
      <w:pPr>
        <w:autoSpaceDE w:val="0"/>
        <w:autoSpaceDN w:val="0"/>
        <w:adjustRightInd w:val="0"/>
        <w:ind w:left="720" w:hanging="720"/>
        <w:jc w:val="both"/>
      </w:pPr>
      <w:r w:rsidRPr="00CE4E00">
        <w:t xml:space="preserve">5 </w:t>
      </w:r>
      <w:r w:rsidRPr="00CE4E00">
        <w:tab/>
        <w:t xml:space="preserve">Keep in touch with your speakers to ensure they submit an abstract and register for the conference.   </w:t>
      </w:r>
    </w:p>
    <w:p w:rsidR="00C154D0" w:rsidRPr="00CE4E00" w:rsidRDefault="00C154D0" w:rsidP="00C154D0">
      <w:pPr>
        <w:autoSpaceDE w:val="0"/>
        <w:autoSpaceDN w:val="0"/>
        <w:adjustRightInd w:val="0"/>
        <w:ind w:left="720" w:hanging="720"/>
        <w:jc w:val="both"/>
      </w:pPr>
      <w:r w:rsidRPr="00CE4E00">
        <w:t>6</w:t>
      </w:r>
      <w:r w:rsidRPr="00CE4E00">
        <w:tab/>
        <w:t>Review abst</w:t>
      </w:r>
      <w:r>
        <w:t>racts for interest and clarity.  ‘</w:t>
      </w:r>
      <w:r w:rsidRPr="00CE4E00">
        <w:t>Accept</w:t>
      </w:r>
      <w:r>
        <w:t>’ or ‘Reject’</w:t>
      </w:r>
      <w:r w:rsidRPr="00CE4E00">
        <w:t xml:space="preserve"> the submitted titles on the </w:t>
      </w:r>
      <w:r>
        <w:t>conference database,</w:t>
      </w:r>
      <w:r w:rsidRPr="00CE4E00">
        <w:t xml:space="preserve"> (a link </w:t>
      </w:r>
      <w:r>
        <w:t xml:space="preserve">to log on with, </w:t>
      </w:r>
      <w:r w:rsidRPr="00CE4E00">
        <w:t xml:space="preserve">will be sent to you), ensuring that you have good interesting speakers for your stream. </w:t>
      </w:r>
    </w:p>
    <w:p w:rsidR="00C154D0" w:rsidRPr="00CE4E00" w:rsidRDefault="00C154D0" w:rsidP="00C154D0">
      <w:pPr>
        <w:autoSpaceDE w:val="0"/>
        <w:autoSpaceDN w:val="0"/>
        <w:adjustRightInd w:val="0"/>
        <w:ind w:left="720" w:hanging="720"/>
        <w:jc w:val="both"/>
      </w:pPr>
      <w:r w:rsidRPr="00CE4E00">
        <w:t>7</w:t>
      </w:r>
      <w:r w:rsidRPr="00CE4E00">
        <w:tab/>
        <w:t xml:space="preserve">Keep in contact with your authors directly, don’t lose touch. </w:t>
      </w:r>
    </w:p>
    <w:p w:rsidR="00C154D0" w:rsidRPr="00CE4E00" w:rsidRDefault="00C154D0" w:rsidP="00C154D0">
      <w:pPr>
        <w:autoSpaceDE w:val="0"/>
        <w:autoSpaceDN w:val="0"/>
        <w:adjustRightInd w:val="0"/>
        <w:ind w:left="720" w:hanging="720"/>
        <w:jc w:val="both"/>
      </w:pPr>
      <w:r w:rsidRPr="00CE4E00">
        <w:t>8</w:t>
      </w:r>
      <w:r w:rsidRPr="00CE4E00">
        <w:tab/>
        <w:t xml:space="preserve">Scheduling the running order for the stream and arranging a chair for each session.  This involves some co-ordination with the Programme Scheduler since there are often speakers who are presenting in more than one stream.   </w:t>
      </w:r>
    </w:p>
    <w:p w:rsidR="00C154D0" w:rsidRDefault="00C154D0" w:rsidP="00C154D0">
      <w:pPr>
        <w:autoSpaceDE w:val="0"/>
        <w:autoSpaceDN w:val="0"/>
        <w:adjustRightInd w:val="0"/>
        <w:jc w:val="both"/>
        <w:rPr>
          <w:b/>
        </w:rPr>
      </w:pPr>
      <w:r w:rsidRPr="00CE4E00">
        <w:rPr>
          <w:b/>
        </w:rPr>
        <w:t>* Unfortunately, there are no concessions on registration fees for Stream Organisers, Keynote speakers or Presenters.</w:t>
      </w:r>
    </w:p>
    <w:p w:rsidR="00C154D0" w:rsidRDefault="00C154D0" w:rsidP="00C154D0">
      <w:pPr>
        <w:autoSpaceDE w:val="0"/>
        <w:autoSpaceDN w:val="0"/>
        <w:adjustRightInd w:val="0"/>
        <w:jc w:val="both"/>
        <w:rPr>
          <w:b/>
        </w:rPr>
      </w:pPr>
    </w:p>
    <w:p w:rsidR="00951C5B" w:rsidRPr="00CE4E00" w:rsidRDefault="00C154D0" w:rsidP="00C154D0">
      <w:pPr>
        <w:autoSpaceDE w:val="0"/>
        <w:autoSpaceDN w:val="0"/>
        <w:adjustRightInd w:val="0"/>
        <w:jc w:val="both"/>
      </w:pPr>
      <w:r w:rsidRPr="00CE4E00">
        <w:rPr>
          <w:b/>
        </w:rPr>
        <w:lastRenderedPageBreak/>
        <w:t>KEY MILESTONES</w:t>
      </w:r>
      <w:r w:rsidR="006E721E">
        <w:t xml:space="preserve">  - </w:t>
      </w:r>
      <w:r w:rsidRPr="00CE4E00">
        <w:t xml:space="preserve"> </w:t>
      </w:r>
      <w:r w:rsidR="004C05CA">
        <w:t>F</w:t>
      </w:r>
      <w:r>
        <w:t>or Stream O</w:t>
      </w:r>
      <w:r w:rsidRPr="00CE4E00">
        <w:t>rganiser</w:t>
      </w:r>
      <w:r w:rsidR="004C05CA">
        <w:t>’s to be aware of:</w:t>
      </w:r>
    </w:p>
    <w:tbl>
      <w:tblPr>
        <w:tblW w:w="8755" w:type="dxa"/>
        <w:tblLayout w:type="fixed"/>
        <w:tblLook w:val="01E0" w:firstRow="1" w:lastRow="1" w:firstColumn="1" w:lastColumn="1" w:noHBand="0" w:noVBand="0"/>
      </w:tblPr>
      <w:tblGrid>
        <w:gridCol w:w="1951"/>
        <w:gridCol w:w="6804"/>
      </w:tblGrid>
      <w:tr w:rsidR="00C154D0" w:rsidRPr="00CE4E00" w:rsidTr="009039D0">
        <w:tc>
          <w:tcPr>
            <w:tcW w:w="1951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C154D0" w:rsidRPr="00CE4E00" w:rsidRDefault="00C154D0" w:rsidP="009039D0">
            <w:r w:rsidRPr="00CE4E00">
              <w:t>Time period</w:t>
            </w:r>
          </w:p>
        </w:tc>
        <w:tc>
          <w:tcPr>
            <w:tcW w:w="6804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C154D0" w:rsidRPr="00CE4E00" w:rsidRDefault="00C154D0" w:rsidP="009039D0">
            <w:r w:rsidRPr="00CE4E00">
              <w:t>Activity</w:t>
            </w:r>
          </w:p>
        </w:tc>
      </w:tr>
      <w:tr w:rsidR="00C154D0" w:rsidRPr="00CE4E00" w:rsidTr="009039D0">
        <w:tc>
          <w:tcPr>
            <w:tcW w:w="1951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C154D0" w:rsidRPr="00CE4E00" w:rsidRDefault="00EA2DED" w:rsidP="00951C5B">
            <w:r>
              <w:rPr>
                <w:b/>
              </w:rPr>
              <w:t>Now to Feb</w:t>
            </w:r>
            <w:r w:rsidR="00C154D0" w:rsidRPr="00CE4E00">
              <w:rPr>
                <w:b/>
              </w:rPr>
              <w:t xml:space="preserve"> 201</w:t>
            </w:r>
            <w:r w:rsidR="00951C5B">
              <w:rPr>
                <w:b/>
              </w:rPr>
              <w:t>9</w:t>
            </w:r>
          </w:p>
        </w:tc>
        <w:tc>
          <w:tcPr>
            <w:tcW w:w="6804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C154D0" w:rsidRPr="00CE4E00" w:rsidRDefault="00C154D0" w:rsidP="009039D0">
            <w:pPr>
              <w:rPr>
                <w:b/>
              </w:rPr>
            </w:pPr>
            <w:r w:rsidRPr="00CE4E00">
              <w:rPr>
                <w:b/>
              </w:rPr>
              <w:t>Solicit presenters for the stream (main effort)</w:t>
            </w:r>
          </w:p>
          <w:p w:rsidR="00C154D0" w:rsidRPr="00CE4E00" w:rsidRDefault="00C154D0" w:rsidP="00AF3EAE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CE4E00">
              <w:t xml:space="preserve">Seek presenters, </w:t>
            </w:r>
            <w:r w:rsidRPr="00CE4E00">
              <w:rPr>
                <w:b/>
              </w:rPr>
              <w:t>it is important to pin down as many of your papers as possible by this time</w:t>
            </w:r>
            <w:r w:rsidRPr="00CE4E00">
              <w:t xml:space="preserve"> in order to assist conference planning since no stream is ever too full.  </w:t>
            </w:r>
          </w:p>
          <w:p w:rsidR="00C154D0" w:rsidRPr="00CE4E00" w:rsidRDefault="00C154D0" w:rsidP="00AF3EAE">
            <w:pPr>
              <w:spacing w:after="0" w:line="240" w:lineRule="auto"/>
              <w:ind w:left="720"/>
              <w:jc w:val="both"/>
            </w:pPr>
            <w:r w:rsidRPr="00CE4E00">
              <w:t xml:space="preserve">If there are a large number of titles for one stream then it is possible to run </w:t>
            </w:r>
            <w:r w:rsidR="00AF3EAE">
              <w:t xml:space="preserve">that </w:t>
            </w:r>
            <w:r w:rsidRPr="00CE4E00">
              <w:t xml:space="preserve">streams </w:t>
            </w:r>
            <w:r w:rsidR="00AF3EAE">
              <w:t xml:space="preserve">in parallel to itself. </w:t>
            </w:r>
            <w:r w:rsidRPr="00CE4E00">
              <w:t xml:space="preserve"> </w:t>
            </w:r>
          </w:p>
          <w:p w:rsidR="00C154D0" w:rsidRPr="00CE4E00" w:rsidRDefault="00C154D0" w:rsidP="00AF3EAE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CE4E00">
              <w:t xml:space="preserve">Whilst some people will submit titles without being requested, Stream Organisers need, in general, to be very proactive in encouraging their contacts to commit to a paper.  Use telephone as well as e-mail!   </w:t>
            </w:r>
          </w:p>
          <w:p w:rsidR="00C154D0" w:rsidRPr="00CE4E00" w:rsidRDefault="00C154D0" w:rsidP="00C154D0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CE4E00">
              <w:t>Remember to include practitioner groups as well as academics in trawling for papers.  Think laterally about who might be persuaded to contribute to your stream.</w:t>
            </w:r>
          </w:p>
          <w:p w:rsidR="00C154D0" w:rsidRPr="00CE4E00" w:rsidRDefault="00C154D0" w:rsidP="00C154D0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CE4E00">
              <w:t>As soon as the website is opened for submission, encourage presenters to submit their titles and abstracts as soon as possible via the OR Society website.</w:t>
            </w:r>
          </w:p>
          <w:p w:rsidR="00C154D0" w:rsidRPr="00CE4E00" w:rsidRDefault="00C154D0" w:rsidP="00C154D0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S</w:t>
            </w:r>
            <w:r w:rsidRPr="00CE4E00">
              <w:t>tream organiser</w:t>
            </w:r>
            <w:r>
              <w:t>s</w:t>
            </w:r>
            <w:r w:rsidRPr="00CE4E00">
              <w:t xml:space="preserve"> </w:t>
            </w:r>
            <w:r>
              <w:t>can s</w:t>
            </w:r>
            <w:r w:rsidRPr="00CE4E00">
              <w:t xml:space="preserve">ubmit a short article for the ORS newsletter (Inside OR) to encourage </w:t>
            </w:r>
            <w:r>
              <w:t>submissions</w:t>
            </w:r>
            <w:r w:rsidRPr="00CE4E00">
              <w:t>.</w:t>
            </w:r>
          </w:p>
          <w:p w:rsidR="00C154D0" w:rsidRPr="00CE4E00" w:rsidRDefault="00C154D0" w:rsidP="00C154D0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CE4E00">
              <w:rPr>
                <w:b/>
              </w:rPr>
              <w:t>Please note</w:t>
            </w:r>
            <w:r w:rsidRPr="00CE4E00">
              <w:t xml:space="preserve"> that not every person who agrees to present in June will actually do so in September, so even if you have a well</w:t>
            </w:r>
            <w:r>
              <w:t>-stocked list of papers,</w:t>
            </w:r>
            <w:r w:rsidRPr="00CE4E00">
              <w:t xml:space="preserve"> don’t rest on your laurels!</w:t>
            </w:r>
          </w:p>
        </w:tc>
      </w:tr>
      <w:tr w:rsidR="00C154D0" w:rsidRPr="00CE4E00" w:rsidTr="004C05CA">
        <w:trPr>
          <w:trHeight w:val="1161"/>
        </w:trPr>
        <w:tc>
          <w:tcPr>
            <w:tcW w:w="1951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C154D0" w:rsidRPr="00CE4E00" w:rsidRDefault="00C154D0" w:rsidP="009039D0">
            <w:pPr>
              <w:rPr>
                <w:b/>
              </w:rPr>
            </w:pPr>
            <w:r w:rsidRPr="00CE4E00">
              <w:rPr>
                <w:b/>
              </w:rPr>
              <w:t>Registration</w:t>
            </w:r>
          </w:p>
          <w:p w:rsidR="00C154D0" w:rsidRPr="00CE4E00" w:rsidRDefault="00EA2DED" w:rsidP="00EA2DED">
            <w:r>
              <w:rPr>
                <w:b/>
              </w:rPr>
              <w:t>(Jan</w:t>
            </w:r>
            <w:r w:rsidR="00C154D0" w:rsidRPr="00CE4E00">
              <w:rPr>
                <w:b/>
              </w:rPr>
              <w:t xml:space="preserve"> 201</w:t>
            </w:r>
            <w:r>
              <w:rPr>
                <w:b/>
              </w:rPr>
              <w:t>9</w:t>
            </w:r>
            <w:r w:rsidR="00C154D0" w:rsidRPr="00CE4E00">
              <w:rPr>
                <w:b/>
              </w:rPr>
              <w:t xml:space="preserve"> onwards)</w:t>
            </w:r>
          </w:p>
        </w:tc>
        <w:tc>
          <w:tcPr>
            <w:tcW w:w="6804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C154D0" w:rsidRPr="00CE4E00" w:rsidRDefault="00C154D0" w:rsidP="009039D0">
            <w:pPr>
              <w:jc w:val="both"/>
              <w:rPr>
                <w:color w:val="FF0000"/>
              </w:rPr>
            </w:pPr>
            <w:r w:rsidRPr="00CE4E00">
              <w:t>All delegates are encourage</w:t>
            </w:r>
            <w:r>
              <w:t xml:space="preserve">d to book their place on-line. </w:t>
            </w:r>
            <w:r w:rsidRPr="00CE4E00">
              <w:rPr>
                <w:b/>
              </w:rPr>
              <w:t>Contact presenters to remind them to book for the conference</w:t>
            </w:r>
            <w:r>
              <w:rPr>
                <w:b/>
              </w:rPr>
              <w:t xml:space="preserve">. </w:t>
            </w:r>
            <w:r w:rsidRPr="00CE4E00">
              <w:t xml:space="preserve">Titles will not be scheduled in the programme if </w:t>
            </w:r>
            <w:r>
              <w:t xml:space="preserve">a </w:t>
            </w:r>
            <w:r w:rsidRPr="00CE4E00">
              <w:t xml:space="preserve">presenter hasn’t booked.  </w:t>
            </w:r>
            <w:r w:rsidRPr="00CE4E00">
              <w:rPr>
                <w:b/>
              </w:rPr>
              <w:t>Remember to book your own registration and accommodation</w:t>
            </w:r>
            <w:r w:rsidRPr="00CE4E00">
              <w:t>.</w:t>
            </w:r>
          </w:p>
        </w:tc>
      </w:tr>
      <w:tr w:rsidR="00C154D0" w:rsidRPr="00CE4E00" w:rsidTr="004C05CA">
        <w:trPr>
          <w:trHeight w:val="24"/>
        </w:trPr>
        <w:tc>
          <w:tcPr>
            <w:tcW w:w="1951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C154D0" w:rsidRPr="00CE4E00" w:rsidRDefault="00EA2DED" w:rsidP="009039D0">
            <w:pPr>
              <w:rPr>
                <w:b/>
              </w:rPr>
            </w:pPr>
            <w:r>
              <w:rPr>
                <w:b/>
              </w:rPr>
              <w:t>08 Feb</w:t>
            </w:r>
            <w:bookmarkStart w:id="0" w:name="_GoBack"/>
            <w:bookmarkEnd w:id="0"/>
            <w:r w:rsidR="00C154D0" w:rsidRPr="00CE4E00">
              <w:rPr>
                <w:b/>
              </w:rPr>
              <w:t xml:space="preserve"> 201</w:t>
            </w:r>
            <w:r w:rsidR="004C05CA">
              <w:rPr>
                <w:b/>
              </w:rPr>
              <w:t>9</w:t>
            </w:r>
          </w:p>
          <w:p w:rsidR="00C154D0" w:rsidRPr="00CE4E00" w:rsidRDefault="00C154D0" w:rsidP="009039D0"/>
        </w:tc>
        <w:tc>
          <w:tcPr>
            <w:tcW w:w="6804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C154D0" w:rsidRPr="00CE4E00" w:rsidRDefault="00C154D0" w:rsidP="004C05CA">
            <w:pPr>
              <w:jc w:val="both"/>
            </w:pPr>
            <w:r w:rsidRPr="00CE4E00">
              <w:t xml:space="preserve">If not already done, </w:t>
            </w:r>
            <w:r w:rsidRPr="00CE4E00">
              <w:rPr>
                <w:b/>
              </w:rPr>
              <w:t>all abstracts to be submitted via the website.</w:t>
            </w:r>
            <w:r w:rsidRPr="00CE4E00">
              <w:t xml:space="preserve">  </w:t>
            </w:r>
            <w:r w:rsidR="004C05CA">
              <w:t>P</w:t>
            </w:r>
            <w:r w:rsidRPr="00CE4E00">
              <w:t xml:space="preserve">lease read the abstracts submitted to ensure they are understandable to a non-specialist. </w:t>
            </w:r>
          </w:p>
        </w:tc>
      </w:tr>
      <w:tr w:rsidR="00C154D0" w:rsidRPr="00CE4E00" w:rsidTr="004C05CA">
        <w:trPr>
          <w:trHeight w:val="275"/>
        </w:trPr>
        <w:tc>
          <w:tcPr>
            <w:tcW w:w="1951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C154D0" w:rsidRPr="00CE4E00" w:rsidRDefault="004C05CA" w:rsidP="006E721E">
            <w:r>
              <w:rPr>
                <w:b/>
              </w:rPr>
              <w:t>03 Mar 2019</w:t>
            </w:r>
          </w:p>
        </w:tc>
        <w:tc>
          <w:tcPr>
            <w:tcW w:w="6804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4C05CA" w:rsidRPr="00CE4E00" w:rsidRDefault="00C154D0" w:rsidP="004C05CA">
            <w:pPr>
              <w:jc w:val="both"/>
            </w:pPr>
            <w:r w:rsidRPr="00CE4E00">
              <w:rPr>
                <w:b/>
              </w:rPr>
              <w:t>Organise session chairs</w:t>
            </w:r>
            <w:r w:rsidRPr="00CE4E00">
              <w:t xml:space="preserve">.  </w:t>
            </w:r>
            <w:r>
              <w:t xml:space="preserve">e.g. </w:t>
            </w:r>
            <w:r w:rsidRPr="00CE4E00">
              <w:t>one of the presenters in each session</w:t>
            </w:r>
            <w:r w:rsidR="004C05CA">
              <w:t>.</w:t>
            </w:r>
          </w:p>
        </w:tc>
      </w:tr>
      <w:tr w:rsidR="004C05CA" w:rsidRPr="00CE4E00" w:rsidTr="006E721E">
        <w:trPr>
          <w:trHeight w:val="134"/>
        </w:trPr>
        <w:tc>
          <w:tcPr>
            <w:tcW w:w="1951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4C05CA" w:rsidRDefault="004C05CA" w:rsidP="004C05CA">
            <w:pPr>
              <w:rPr>
                <w:b/>
              </w:rPr>
            </w:pPr>
            <w:r>
              <w:rPr>
                <w:b/>
              </w:rPr>
              <w:t>10-11 Apr 2019</w:t>
            </w:r>
          </w:p>
        </w:tc>
        <w:tc>
          <w:tcPr>
            <w:tcW w:w="6804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4C05CA" w:rsidRPr="00CE4E00" w:rsidRDefault="004C05CA" w:rsidP="004C05CA">
            <w:pPr>
              <w:jc w:val="both"/>
              <w:rPr>
                <w:b/>
              </w:rPr>
            </w:pPr>
            <w:r w:rsidRPr="004C05CA">
              <w:rPr>
                <w:b/>
              </w:rPr>
              <w:t>Attend Conference</w:t>
            </w:r>
          </w:p>
        </w:tc>
      </w:tr>
    </w:tbl>
    <w:p w:rsidR="00EB4D8E" w:rsidRDefault="00EB4D8E" w:rsidP="004C05CA">
      <w:pPr>
        <w:spacing w:after="4" w:line="250" w:lineRule="auto"/>
        <w:jc w:val="both"/>
      </w:pPr>
    </w:p>
    <w:sectPr w:rsidR="00EB4D8E" w:rsidSect="008F09A2">
      <w:headerReference w:type="default" r:id="rId10"/>
      <w:footerReference w:type="default" r:id="rId11"/>
      <w:pgSz w:w="11906" w:h="16838"/>
      <w:pgMar w:top="1440" w:right="1440" w:bottom="1440" w:left="1440" w:header="1814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CBE" w:rsidRDefault="00ED3CBE" w:rsidP="00ED3CBE">
      <w:pPr>
        <w:spacing w:after="0" w:line="240" w:lineRule="auto"/>
      </w:pPr>
      <w:r>
        <w:separator/>
      </w:r>
    </w:p>
  </w:endnote>
  <w:endnote w:type="continuationSeparator" w:id="0">
    <w:p w:rsidR="00ED3CBE" w:rsidRDefault="00ED3CBE" w:rsidP="00ED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3310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05CA" w:rsidRDefault="004C05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D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3CBE" w:rsidRPr="00742868" w:rsidRDefault="00ED3CBE" w:rsidP="00742868">
    <w:pPr>
      <w:pStyle w:val="Footer"/>
      <w:ind w:left="113" w:hanging="567"/>
      <w:rPr>
        <w:color w:val="50575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CBE" w:rsidRDefault="00ED3CBE" w:rsidP="00ED3CBE">
      <w:pPr>
        <w:spacing w:after="0" w:line="240" w:lineRule="auto"/>
      </w:pPr>
      <w:r>
        <w:separator/>
      </w:r>
    </w:p>
  </w:footnote>
  <w:footnote w:type="continuationSeparator" w:id="0">
    <w:p w:rsidR="00ED3CBE" w:rsidRDefault="00ED3CBE" w:rsidP="00ED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CBE" w:rsidRDefault="00BF22CB" w:rsidP="008F09A2">
    <w:pPr>
      <w:spacing w:after="0"/>
      <w:ind w:left="-567" w:right="-330" w:firstLine="567"/>
    </w:pPr>
    <w:r w:rsidRPr="00BF22CB">
      <w:rPr>
        <w:noProof/>
        <w:sz w:val="20"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3095625</wp:posOffset>
              </wp:positionH>
              <wp:positionV relativeFrom="paragraph">
                <wp:posOffset>-732790</wp:posOffset>
              </wp:positionV>
              <wp:extent cx="3190875" cy="101028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875" cy="1010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22CB" w:rsidRPr="00BF22CB" w:rsidRDefault="00F8588B" w:rsidP="00BF22CB">
                          <w:pPr>
                            <w:pStyle w:val="NoSpacing"/>
                            <w:jc w:val="right"/>
                            <w:rPr>
                              <w:b/>
                              <w:color w:val="D61B26"/>
                              <w:sz w:val="20"/>
                            </w:rPr>
                          </w:pPr>
                          <w:r>
                            <w:rPr>
                              <w:b/>
                              <w:color w:val="D61B26"/>
                            </w:rPr>
                            <w:t>New to OR 2019</w:t>
                          </w:r>
                          <w:r w:rsidR="00BF22CB" w:rsidRPr="00BF22CB">
                            <w:rPr>
                              <w:b/>
                              <w:color w:val="D61B26"/>
                            </w:rPr>
                            <w:t xml:space="preserve"> - The OR Society </w:t>
                          </w:r>
                          <w:r>
                            <w:rPr>
                              <w:b/>
                              <w:color w:val="D61B26"/>
                            </w:rPr>
                            <w:t>Biennial</w:t>
                          </w:r>
                          <w:r w:rsidR="00BF22CB" w:rsidRPr="00BF22CB">
                            <w:rPr>
                              <w:b/>
                              <w:color w:val="D61B26"/>
                            </w:rPr>
                            <w:t xml:space="preserve"> Conference</w:t>
                          </w:r>
                        </w:p>
                        <w:p w:rsidR="00BF22CB" w:rsidRDefault="00F8588B" w:rsidP="00BF22CB">
                          <w:pPr>
                            <w:pStyle w:val="NoSpacing"/>
                            <w:jc w:val="right"/>
                            <w:rPr>
                              <w:rFonts w:cs="Arial"/>
                              <w:b/>
                              <w:bCs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10 - 11 April 2019</w:t>
                          </w:r>
                          <w:r w:rsidR="00BF22CB" w:rsidRPr="00BF22CB">
                            <w:rPr>
                              <w:b/>
                              <w:color w:val="000000" w:themeColor="text1"/>
                            </w:rPr>
                            <w:br/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000000" w:themeColor="text1"/>
                            </w:rPr>
                            <w:t>Conferen</w:t>
                          </w:r>
                          <w:r w:rsidR="00600B68">
                            <w:rPr>
                              <w:rFonts w:cs="Arial"/>
                              <w:b/>
                              <w:bCs/>
                              <w:color w:val="000000" w:themeColor="text1"/>
                            </w:rPr>
                            <w:t>ce Aston, Aston Business School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000000" w:themeColor="text1"/>
                            </w:rPr>
                            <w:t xml:space="preserve"> Birmingham</w:t>
                          </w:r>
                          <w:r w:rsidR="00BF22CB" w:rsidRPr="00BF22CB">
                            <w:rPr>
                              <w:rFonts w:cs="Arial"/>
                              <w:b/>
                              <w:bCs/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000000" w:themeColor="text1"/>
                            </w:rPr>
                            <w:t>B4 7ET</w:t>
                          </w:r>
                          <w:r w:rsidR="00BF22CB" w:rsidRPr="00BF22CB">
                            <w:rPr>
                              <w:rFonts w:cs="Arial"/>
                              <w:b/>
                              <w:bCs/>
                              <w:color w:val="000000" w:themeColor="text1"/>
                            </w:rPr>
                            <w:t xml:space="preserve"> </w:t>
                          </w:r>
                        </w:p>
                        <w:p w:rsidR="00BF22CB" w:rsidRDefault="00BF22C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3.75pt;margin-top:-57.7pt;width:251.25pt;height:7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" filled="f" stroked="f">
              <v:textbox>
                <w:txbxContent>
                  <w:p w:rsidR="00BF22CB" w:rsidRPr="00BF22CB" w:rsidRDefault="00F8588B" w:rsidP="00BF22CB">
                    <w:pPr>
                      <w:pStyle w:val="NoSpacing"/>
                      <w:jc w:val="right"/>
                      <w:rPr>
                        <w:b/>
                        <w:color w:val="D61B26"/>
                        <w:sz w:val="20"/>
                      </w:rPr>
                    </w:pPr>
                    <w:r>
                      <w:rPr>
                        <w:b/>
                        <w:color w:val="D61B26"/>
                      </w:rPr>
                      <w:t>New to OR 2019</w:t>
                    </w:r>
                    <w:r w:rsidR="00BF22CB" w:rsidRPr="00BF22CB">
                      <w:rPr>
                        <w:b/>
                        <w:color w:val="D61B26"/>
                      </w:rPr>
                      <w:t xml:space="preserve"> - The OR Society </w:t>
                    </w:r>
                    <w:r>
                      <w:rPr>
                        <w:b/>
                        <w:color w:val="D61B26"/>
                      </w:rPr>
                      <w:t>Biennial</w:t>
                    </w:r>
                    <w:r w:rsidR="00BF22CB" w:rsidRPr="00BF22CB">
                      <w:rPr>
                        <w:b/>
                        <w:color w:val="D61B26"/>
                      </w:rPr>
                      <w:t xml:space="preserve"> Conference</w:t>
                    </w:r>
                  </w:p>
                  <w:p w:rsidR="00BF22CB" w:rsidRDefault="00F8588B" w:rsidP="00BF22CB">
                    <w:pPr>
                      <w:pStyle w:val="NoSpacing"/>
                      <w:jc w:val="right"/>
                      <w:rPr>
                        <w:rFonts w:cs="Arial"/>
                        <w:b/>
                        <w:bCs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10 - 11 April 2019</w:t>
                    </w:r>
                    <w:r w:rsidR="00BF22CB" w:rsidRPr="00BF22CB">
                      <w:rPr>
                        <w:b/>
                        <w:color w:val="000000" w:themeColor="text1"/>
                      </w:rPr>
                      <w:br/>
                    </w:r>
                    <w:r>
                      <w:rPr>
                        <w:rFonts w:cs="Arial"/>
                        <w:b/>
                        <w:bCs/>
                        <w:color w:val="000000" w:themeColor="text1"/>
                      </w:rPr>
                      <w:t>Conferen</w:t>
                    </w:r>
                    <w:r w:rsidR="00600B68">
                      <w:rPr>
                        <w:rFonts w:cs="Arial"/>
                        <w:b/>
                        <w:bCs/>
                        <w:color w:val="000000" w:themeColor="text1"/>
                      </w:rPr>
                      <w:t>ce Aston, Aston Business School</w:t>
                    </w:r>
                    <w:r>
                      <w:rPr>
                        <w:rFonts w:cs="Arial"/>
                        <w:b/>
                        <w:bCs/>
                        <w:color w:val="000000" w:themeColor="text1"/>
                      </w:rPr>
                      <w:t xml:space="preserve"> Birmingham</w:t>
                    </w:r>
                    <w:r w:rsidR="00BF22CB" w:rsidRPr="00BF22CB">
                      <w:rPr>
                        <w:rFonts w:cs="Arial"/>
                        <w:b/>
                        <w:bCs/>
                        <w:color w:val="000000" w:themeColor="text1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bCs/>
                        <w:color w:val="000000" w:themeColor="text1"/>
                      </w:rPr>
                      <w:t>B4 7ET</w:t>
                    </w:r>
                    <w:r w:rsidR="00BF22CB" w:rsidRPr="00BF22CB">
                      <w:rPr>
                        <w:rFonts w:cs="Arial"/>
                        <w:b/>
                        <w:bCs/>
                        <w:color w:val="000000" w:themeColor="text1"/>
                      </w:rPr>
                      <w:t xml:space="preserve"> </w:t>
                    </w:r>
                  </w:p>
                  <w:p w:rsidR="00BF22CB" w:rsidRDefault="00BF22CB"/>
                </w:txbxContent>
              </v:textbox>
              <w10:wrap type="square"/>
            </v:shape>
          </w:pict>
        </mc:Fallback>
      </mc:AlternateContent>
    </w:r>
    <w:r w:rsidR="006932B0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-617220</wp:posOffset>
          </wp:positionH>
          <wp:positionV relativeFrom="paragraph">
            <wp:posOffset>-989330</wp:posOffset>
          </wp:positionV>
          <wp:extent cx="2408555" cy="126746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_logo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555" cy="1267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09A2" w:rsidRDefault="008F09A2" w:rsidP="008F09A2">
    <w:pPr>
      <w:spacing w:after="0"/>
      <w:ind w:left="-567" w:right="-330" w:firstLine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351"/>
    <w:multiLevelType w:val="hybridMultilevel"/>
    <w:tmpl w:val="5F7235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64A13"/>
    <w:multiLevelType w:val="hybridMultilevel"/>
    <w:tmpl w:val="19AC2F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62054"/>
    <w:multiLevelType w:val="hybridMultilevel"/>
    <w:tmpl w:val="4EA8EA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21310"/>
    <w:multiLevelType w:val="hybridMultilevel"/>
    <w:tmpl w:val="1278F0C0"/>
    <w:lvl w:ilvl="0" w:tplc="EF683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61B2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34128"/>
    <w:multiLevelType w:val="hybridMultilevel"/>
    <w:tmpl w:val="16C023D4"/>
    <w:lvl w:ilvl="0" w:tplc="EF683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61B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143CC"/>
    <w:multiLevelType w:val="hybridMultilevel"/>
    <w:tmpl w:val="516A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051AC"/>
    <w:multiLevelType w:val="hybridMultilevel"/>
    <w:tmpl w:val="E070C14C"/>
    <w:lvl w:ilvl="0" w:tplc="EF683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61B2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33BAB"/>
    <w:multiLevelType w:val="hybridMultilevel"/>
    <w:tmpl w:val="1AD84D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42653"/>
    <w:multiLevelType w:val="hybridMultilevel"/>
    <w:tmpl w:val="EB5E1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46758"/>
    <w:multiLevelType w:val="hybridMultilevel"/>
    <w:tmpl w:val="E9E6E3FE"/>
    <w:lvl w:ilvl="0" w:tplc="EF683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61B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60D41"/>
    <w:multiLevelType w:val="hybridMultilevel"/>
    <w:tmpl w:val="5C4410DC"/>
    <w:lvl w:ilvl="0" w:tplc="0A885654">
      <w:start w:val="1"/>
      <w:numFmt w:val="decimal"/>
      <w:lvlText w:val="%1"/>
      <w:lvlJc w:val="left"/>
      <w:pPr>
        <w:ind w:left="636"/>
      </w:pPr>
      <w:rPr>
        <w:rFonts w:ascii="Frutiger LT 57 Cn" w:eastAsia="Frutiger LT 57 Cn" w:hAnsi="Frutiger LT 57 Cn" w:cs="Frutiger LT 57 C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E235C">
      <w:start w:val="1"/>
      <w:numFmt w:val="lowerLetter"/>
      <w:lvlText w:val="%2"/>
      <w:lvlJc w:val="left"/>
      <w:pPr>
        <w:ind w:left="1080"/>
      </w:pPr>
      <w:rPr>
        <w:rFonts w:ascii="Frutiger LT 57 Cn" w:eastAsia="Frutiger LT 57 Cn" w:hAnsi="Frutiger LT 57 Cn" w:cs="Frutiger LT 57 C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462550">
      <w:start w:val="1"/>
      <w:numFmt w:val="lowerRoman"/>
      <w:lvlText w:val="%3"/>
      <w:lvlJc w:val="left"/>
      <w:pPr>
        <w:ind w:left="1800"/>
      </w:pPr>
      <w:rPr>
        <w:rFonts w:ascii="Frutiger LT 57 Cn" w:eastAsia="Frutiger LT 57 Cn" w:hAnsi="Frutiger LT 57 Cn" w:cs="Frutiger LT 57 C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98D06C">
      <w:start w:val="1"/>
      <w:numFmt w:val="decimal"/>
      <w:lvlText w:val="%4"/>
      <w:lvlJc w:val="left"/>
      <w:pPr>
        <w:ind w:left="2520"/>
      </w:pPr>
      <w:rPr>
        <w:rFonts w:ascii="Frutiger LT 57 Cn" w:eastAsia="Frutiger LT 57 Cn" w:hAnsi="Frutiger LT 57 Cn" w:cs="Frutiger LT 57 C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463D86">
      <w:start w:val="1"/>
      <w:numFmt w:val="lowerLetter"/>
      <w:lvlText w:val="%5"/>
      <w:lvlJc w:val="left"/>
      <w:pPr>
        <w:ind w:left="3240"/>
      </w:pPr>
      <w:rPr>
        <w:rFonts w:ascii="Frutiger LT 57 Cn" w:eastAsia="Frutiger LT 57 Cn" w:hAnsi="Frutiger LT 57 Cn" w:cs="Frutiger LT 57 C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8A3C96">
      <w:start w:val="1"/>
      <w:numFmt w:val="lowerRoman"/>
      <w:lvlText w:val="%6"/>
      <w:lvlJc w:val="left"/>
      <w:pPr>
        <w:ind w:left="3960"/>
      </w:pPr>
      <w:rPr>
        <w:rFonts w:ascii="Frutiger LT 57 Cn" w:eastAsia="Frutiger LT 57 Cn" w:hAnsi="Frutiger LT 57 Cn" w:cs="Frutiger LT 57 C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50555C">
      <w:start w:val="1"/>
      <w:numFmt w:val="decimal"/>
      <w:lvlText w:val="%7"/>
      <w:lvlJc w:val="left"/>
      <w:pPr>
        <w:ind w:left="4680"/>
      </w:pPr>
      <w:rPr>
        <w:rFonts w:ascii="Frutiger LT 57 Cn" w:eastAsia="Frutiger LT 57 Cn" w:hAnsi="Frutiger LT 57 Cn" w:cs="Frutiger LT 57 C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42E156">
      <w:start w:val="1"/>
      <w:numFmt w:val="lowerLetter"/>
      <w:lvlText w:val="%8"/>
      <w:lvlJc w:val="left"/>
      <w:pPr>
        <w:ind w:left="5400"/>
      </w:pPr>
      <w:rPr>
        <w:rFonts w:ascii="Frutiger LT 57 Cn" w:eastAsia="Frutiger LT 57 Cn" w:hAnsi="Frutiger LT 57 Cn" w:cs="Frutiger LT 57 C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8440E2">
      <w:start w:val="1"/>
      <w:numFmt w:val="lowerRoman"/>
      <w:lvlText w:val="%9"/>
      <w:lvlJc w:val="left"/>
      <w:pPr>
        <w:ind w:left="6120"/>
      </w:pPr>
      <w:rPr>
        <w:rFonts w:ascii="Frutiger LT 57 Cn" w:eastAsia="Frutiger LT 57 Cn" w:hAnsi="Frutiger LT 57 Cn" w:cs="Frutiger LT 57 C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605379"/>
    <w:multiLevelType w:val="hybridMultilevel"/>
    <w:tmpl w:val="02E68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1"/>
  </w:num>
  <w:num w:numId="8">
    <w:abstractNumId w:val="9"/>
  </w:num>
  <w:num w:numId="9">
    <w:abstractNumId w:val="6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BE"/>
    <w:rsid w:val="000D45B2"/>
    <w:rsid w:val="001359B8"/>
    <w:rsid w:val="00237DD6"/>
    <w:rsid w:val="00294362"/>
    <w:rsid w:val="00306A3A"/>
    <w:rsid w:val="003978E4"/>
    <w:rsid w:val="00464E64"/>
    <w:rsid w:val="004A3635"/>
    <w:rsid w:val="004C05CA"/>
    <w:rsid w:val="0058490F"/>
    <w:rsid w:val="005E3BC0"/>
    <w:rsid w:val="00600B68"/>
    <w:rsid w:val="0060107B"/>
    <w:rsid w:val="00670094"/>
    <w:rsid w:val="006932B0"/>
    <w:rsid w:val="006E721E"/>
    <w:rsid w:val="00707FB4"/>
    <w:rsid w:val="00742868"/>
    <w:rsid w:val="007779C6"/>
    <w:rsid w:val="008042D4"/>
    <w:rsid w:val="008466EC"/>
    <w:rsid w:val="008F09A2"/>
    <w:rsid w:val="008F5AD4"/>
    <w:rsid w:val="00946D53"/>
    <w:rsid w:val="00951C5B"/>
    <w:rsid w:val="00A12D52"/>
    <w:rsid w:val="00AA7BCE"/>
    <w:rsid w:val="00AF3EAE"/>
    <w:rsid w:val="00BF22CB"/>
    <w:rsid w:val="00BF4537"/>
    <w:rsid w:val="00C154D0"/>
    <w:rsid w:val="00C84C87"/>
    <w:rsid w:val="00CA3EE8"/>
    <w:rsid w:val="00D059C2"/>
    <w:rsid w:val="00D86DD6"/>
    <w:rsid w:val="00E24B3D"/>
    <w:rsid w:val="00E54C94"/>
    <w:rsid w:val="00E6354E"/>
    <w:rsid w:val="00EA2DED"/>
    <w:rsid w:val="00EB4D8E"/>
    <w:rsid w:val="00ED3CBE"/>
    <w:rsid w:val="00EE0156"/>
    <w:rsid w:val="00F212B1"/>
    <w:rsid w:val="00F42D09"/>
    <w:rsid w:val="00F8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171CB64-A17F-45AA-90F6-AE0D5FBF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54E"/>
    <w:rPr>
      <w:rFonts w:ascii="Roboto Light" w:hAnsi="Roboto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4537"/>
    <w:pPr>
      <w:keepNext/>
      <w:keepLines/>
      <w:spacing w:before="240" w:after="0"/>
      <w:outlineLvl w:val="0"/>
    </w:pPr>
    <w:rPr>
      <w:rFonts w:ascii="Roboto Medium" w:eastAsiaTheme="majorEastAsia" w:hAnsi="Roboto Medium" w:cstheme="majorBidi"/>
      <w:color w:val="D61B2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54E"/>
    <w:pPr>
      <w:keepNext/>
      <w:keepLines/>
      <w:spacing w:before="40" w:after="0"/>
      <w:outlineLvl w:val="1"/>
    </w:pPr>
    <w:rPr>
      <w:rFonts w:eastAsiaTheme="majorEastAsia" w:cstheme="majorBidi"/>
      <w:color w:val="D61B2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CBE"/>
  </w:style>
  <w:style w:type="paragraph" w:styleId="Footer">
    <w:name w:val="footer"/>
    <w:basedOn w:val="Normal"/>
    <w:link w:val="FooterChar"/>
    <w:uiPriority w:val="99"/>
    <w:unhideWhenUsed/>
    <w:rsid w:val="00ED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CBE"/>
  </w:style>
  <w:style w:type="character" w:styleId="Hyperlink">
    <w:name w:val="Hyperlink"/>
    <w:basedOn w:val="DefaultParagraphFont"/>
    <w:uiPriority w:val="99"/>
    <w:unhideWhenUsed/>
    <w:rsid w:val="00ED3C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9B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54E"/>
    <w:pPr>
      <w:spacing w:after="0" w:line="240" w:lineRule="auto"/>
      <w:contextualSpacing/>
    </w:pPr>
    <w:rPr>
      <w:rFonts w:ascii="Roboto Medium" w:eastAsiaTheme="majorEastAsia" w:hAnsi="Roboto Medium" w:cstheme="majorBidi"/>
      <w:color w:val="D61B26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354E"/>
    <w:rPr>
      <w:rFonts w:ascii="Roboto Medium" w:eastAsiaTheme="majorEastAsia" w:hAnsi="Roboto Medium" w:cstheme="majorBidi"/>
      <w:color w:val="D61B26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F4537"/>
    <w:rPr>
      <w:rFonts w:ascii="Roboto Medium" w:eastAsiaTheme="majorEastAsia" w:hAnsi="Roboto Medium" w:cstheme="majorBidi"/>
      <w:color w:val="D61B2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54E"/>
    <w:rPr>
      <w:rFonts w:ascii="Roboto Light" w:eastAsiaTheme="majorEastAsia" w:hAnsi="Roboto Light" w:cstheme="majorBidi"/>
      <w:color w:val="D61B26"/>
      <w:sz w:val="26"/>
      <w:szCs w:val="26"/>
    </w:rPr>
  </w:style>
  <w:style w:type="paragraph" w:customStyle="1" w:styleId="Default">
    <w:name w:val="Default"/>
    <w:rsid w:val="00CA3EE8"/>
    <w:pPr>
      <w:autoSpaceDE w:val="0"/>
      <w:autoSpaceDN w:val="0"/>
      <w:adjustRightInd w:val="0"/>
      <w:spacing w:after="0" w:line="240" w:lineRule="auto"/>
    </w:pPr>
    <w:rPr>
      <w:rFonts w:ascii="Frutiger LT 57 Cn" w:eastAsia="Times New Roman" w:hAnsi="Frutiger LT 57 Cn" w:cs="Frutiger LT 57 Cn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CA3EE8"/>
    <w:pPr>
      <w:spacing w:after="0" w:line="240" w:lineRule="auto"/>
    </w:pPr>
    <w:rPr>
      <w:rFonts w:ascii="Roboto Light" w:hAnsi="Roboto Light"/>
    </w:rPr>
  </w:style>
  <w:style w:type="table" w:customStyle="1" w:styleId="TableGrid">
    <w:name w:val="TableGrid"/>
    <w:rsid w:val="00EB4D8E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qFormat/>
    <w:rsid w:val="00D059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orsociety.com/NEWTOOR20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ilary.wilkes@theorsociet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heorsociety.com/NEWTOOR20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Operational Research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Patrick</dc:creator>
  <cp:keywords/>
  <dc:description/>
  <cp:lastModifiedBy>Hilary Wilkes</cp:lastModifiedBy>
  <cp:revision>2</cp:revision>
  <dcterms:created xsi:type="dcterms:W3CDTF">2019-01-10T12:43:00Z</dcterms:created>
  <dcterms:modified xsi:type="dcterms:W3CDTF">2019-01-10T12:43:00Z</dcterms:modified>
</cp:coreProperties>
</file>